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2DD3" w14:textId="490A7D5E" w:rsidR="00666A49" w:rsidRDefault="00F21ABE" w:rsidP="002A3CCC">
      <w:pPr>
        <w:pStyle w:val="Header"/>
        <w:rPr>
          <w:rFonts w:ascii="Century Gothic" w:hAnsi="Century Gothic" w:cs="Arial"/>
          <w:b/>
          <w:color w:val="808080" w:themeColor="background1" w:themeShade="80"/>
          <w:sz w:val="36"/>
          <w:szCs w:val="36"/>
        </w:rPr>
      </w:pPr>
      <w:r>
        <w:rPr>
          <w:rFonts w:ascii="Century Gothic" w:hAnsi="Century Gothic"/>
          <w:b/>
          <w:bCs/>
          <w:noProof/>
          <w:color w:val="808080" w:themeColor="background1" w:themeShade="8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84AE7" wp14:editId="06623070">
                <wp:simplePos x="0" y="0"/>
                <wp:positionH relativeFrom="column">
                  <wp:posOffset>3951199</wp:posOffset>
                </wp:positionH>
                <wp:positionV relativeFrom="paragraph">
                  <wp:posOffset>-86863</wp:posOffset>
                </wp:positionV>
                <wp:extent cx="3084410" cy="462987"/>
                <wp:effectExtent l="0" t="0" r="1905" b="0"/>
                <wp:wrapNone/>
                <wp:docPr id="3" name="Text Box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4410" cy="462987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29974F" w14:textId="77777777" w:rsidR="00F21ABE" w:rsidRPr="00D01660" w:rsidRDefault="00F21ABE" w:rsidP="00F21ABE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Pruebe Smartsheet GRATIS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84A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es.smartsheet.com/try-it?trp=27713&amp;utm_language=ES&amp;utm_source=integrated-content&amp;utm_campaign=https://es.smartsheet.com/content/merger-acquisition-project-management&amp;utm_medium=ic+Synergy+and+Culture+Mapping+doc+27713+es&amp;lpa=ic+Synergy+and+Culture+Mapping+doc+27713+es" style="position:absolute;margin-left:311.1pt;margin-top:-6.85pt;width:242.85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JfykKgIAAEkEAAAOAAAAZHJzL2Uyb0RvYy54bWysVE2P2jAQvVfqf7B8LwkfpWxEWLEgqkpo&#13;&#10;dyW22rNxbBLJ8bi2IaG/vmMnwHbbU9WLM/aM38y8ec78vq0VOQnrKtA5HQ5SSoTmUFT6kNPvL5tP&#13;&#10;M0qcZ7pgCrTI6Vk4er/4+GHemEyMoARVCEsQRLusMTktvTdZkjheipq5ARih0SnB1szj1h6SwrIG&#13;&#10;0WuVjNJ0mjRgC2OBC+fwdN056SLiSym4f5LSCU9UTrE2H1cb131Yk8WcZQfLTFnxvgz2D1XUrNKY&#13;&#10;9Aq1Zp6Ro63+gKorbsGB9AMOdQJSVlzEHrCbYfqum13JjIi9IDnOXGly/w+WP5525tkS3z5AiwMM&#13;&#10;hDTGZQ4PQz+ttHX4YqUE/Ujh+UqbaD3heDhOZ5PJEF0cfZPp6G72JcAkt9vGOv9VQE2CkVOLY4ls&#13;&#10;sdPW+S70EhKSOVBVsamUiht72K+UJScWRpg+rMejHv23MKVJk9Pp+HMakTWE+x200ljMralg+Xbf&#13;&#10;9p3uoTgjARY6bTjDNxVWuWXOPzOLYsDGUOD+CRepAJNAb1FSgv35t/MQjzNCLyUNiiun7seRWUGJ&#13;&#10;+qZxekGJ0bgbTia4sZfT/cXQx3oF2PAQn4/h0QxxXl1MaaF+Re0vQyZ0Mc0xX079xVz5Tub4drhY&#13;&#10;LmMQas4wv9U7wwN0oDfw/tK+Mmv64Xgc6yNcpMeydzPqYsNNDcujB1nFAQZSOyZ7rlGvUQL92woP&#13;&#10;4u0+Rt3+AItfAAAA//8DAFBLAwQUAAYACAAAACEAHkuX5eYAAAAQAQAADwAAAGRycy9kb3ducmV2&#13;&#10;LnhtbExPW0vDMBR+F/wP4Qi+yJY24i5dT8dwKIgwcJviY9bEttqc1Cbtun9v9uReDnyc75ouB1Oz&#13;&#10;XreusoQQjyNgmnKrKioQ9run0QyY85KUrC1phJN2sMyur1KZKHukN91vfcGCCblEIpTeNwnnLi+1&#13;&#10;kW5sG03h92VbI32AbcFVK4/B3NRcRNGEG1lRSChlox9Lnf9sO4OwM9/Fx/B6937qVy/0/Lnufjez&#13;&#10;DeLtzbBehLNaAPN68P8KOG8I/SELxQ62I+VYjTARQgQqwii+nwI7M+JoOgd2QHiYC+BZyi+HZH8A&#13;&#10;AAD//wMAUEsBAi0AFAAGAAgAAAAhALaDOJL+AAAA4QEAABMAAAAAAAAAAAAAAAAAAAAAAFtDb250&#13;&#10;ZW50X1R5cGVzXS54bWxQSwECLQAUAAYACAAAACEAOP0h/9YAAACUAQAACwAAAAAAAAAAAAAAAAAv&#13;&#10;AQAAX3JlbHMvLnJlbHNQSwECLQAUAAYACAAAACEAviX8pCoCAABJBAAADgAAAAAAAAAAAAAAAAAu&#13;&#10;AgAAZHJzL2Uyb0RvYy54bWxQSwECLQAUAAYACAAAACEAHkuX5eYAAAAQAQAADwAAAAAAAAAAAAAA&#13;&#10;AACEBAAAZHJzL2Rvd25yZXYueG1sUEsFBgAAAAAEAAQA8wAAAJcFAAAAAA==&#13;&#10;" o:button="t" fillcolor="#00bd32" stroked="f" strokeweight=".5pt">
                <v:fill o:detectmouseclick="t"/>
                <v:textbox inset="0,7.2pt,0,0">
                  <w:txbxContent>
                    <w:p w14:paraId="6829974F" w14:textId="77777777" w:rsidR="00F21ABE" w:rsidRPr="00D01660" w:rsidRDefault="00F21ABE" w:rsidP="00F21ABE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>Pruebe Smartsheet GRATIS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color w:val="808080" w:themeColor="background1" w:themeShade="80"/>
          <w:sz w:val="36"/>
        </w:rPr>
        <w:t>EJERCICIO DE MAPEO CULTURAL</w:t>
      </w:r>
      <w:r w:rsidR="007B3F36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</w:p>
    <w:p w14:paraId="095AC1FC" w14:textId="77777777" w:rsidR="007C392F" w:rsidRPr="007C392F" w:rsidRDefault="007C392F" w:rsidP="002A3CCC">
      <w:pPr>
        <w:pStyle w:val="Header"/>
        <w:rPr>
          <w:rFonts w:ascii="Century Gothic" w:hAnsi="Century Gothic" w:cs="Arial"/>
          <w:b/>
          <w:color w:val="808080" w:themeColor="background1" w:themeShade="80"/>
          <w:sz w:val="20"/>
          <w:szCs w:val="20"/>
        </w:rPr>
      </w:pPr>
    </w:p>
    <w:p w14:paraId="79D09B36" w14:textId="77777777" w:rsidR="007C392F" w:rsidRPr="007C392F" w:rsidRDefault="007C392F" w:rsidP="007C392F">
      <w:pPr>
        <w:rPr>
          <w:rFonts w:ascii="Century Gothic" w:eastAsia="Times New Roman" w:hAnsi="Century Gothic" w:cs="Calibri"/>
          <w:color w:val="000000"/>
          <w:sz w:val="18"/>
          <w:szCs w:val="18"/>
        </w:rPr>
      </w:pPr>
      <w:r w:rsidRPr="007C392F">
        <w:rPr>
          <w:rFonts w:ascii="Century Gothic" w:hAnsi="Century Gothic"/>
          <w:b/>
          <w:bCs/>
          <w:color w:val="000000"/>
          <w:sz w:val="18"/>
          <w:szCs w:val="18"/>
        </w:rPr>
        <w:t xml:space="preserve">Direcciones: </w:t>
      </w:r>
      <w:r>
        <w:rPr>
          <w:rFonts w:ascii="Century Gothic" w:hAnsi="Century Gothic"/>
          <w:color w:val="000000"/>
          <w:sz w:val="18"/>
        </w:rPr>
        <w:t xml:space="preserve"> Las matrices siguientes presentan una serie de características culturales a través de un continuo.</w:t>
      </w:r>
      <w:r w:rsidRPr="007C392F">
        <w:rPr>
          <w:rFonts w:ascii="Century Gothic" w:hAnsi="Century Gothic"/>
          <w:color w:val="000000"/>
          <w:sz w:val="18"/>
          <w:szCs w:val="18"/>
        </w:rPr>
        <w:br/>
      </w:r>
      <w:r w:rsidRPr="007C392F">
        <w:rPr>
          <w:rFonts w:ascii="Century Gothic" w:hAnsi="Century Gothic"/>
          <w:color w:val="000000"/>
          <w:sz w:val="18"/>
          <w:szCs w:val="18"/>
        </w:rPr>
        <w:br/>
      </w:r>
      <w:r>
        <w:rPr>
          <w:rFonts w:ascii="Century Gothic" w:hAnsi="Century Gothic"/>
          <w:color w:val="000000"/>
          <w:sz w:val="18"/>
        </w:rPr>
        <w:t xml:space="preserve">Paso 1: Revise cada característica cultural y coloque una </w:t>
      </w:r>
      <w:r w:rsidRPr="007C392F">
        <w:rPr>
          <w:rFonts w:ascii="Century Gothic" w:hAnsi="Century Gothic"/>
          <w:b/>
          <w:bCs/>
          <w:color w:val="000000"/>
          <w:sz w:val="18"/>
          <w:szCs w:val="18"/>
        </w:rPr>
        <w:t>A</w:t>
      </w:r>
      <w:r>
        <w:rPr>
          <w:rFonts w:ascii="Century Gothic" w:hAnsi="Century Gothic"/>
          <w:color w:val="000000"/>
          <w:sz w:val="18"/>
        </w:rPr>
        <w:t xml:space="preserve"> en la columna que represente más estrechamente su percepción de la cultura de la empresa adquirente. </w:t>
      </w:r>
      <w:r w:rsidRPr="007C392F">
        <w:rPr>
          <w:rFonts w:ascii="Century Gothic" w:hAnsi="Century Gothic"/>
          <w:color w:val="000000"/>
          <w:sz w:val="18"/>
          <w:szCs w:val="18"/>
        </w:rPr>
        <w:br/>
      </w:r>
      <w:r w:rsidRPr="007C392F">
        <w:rPr>
          <w:rFonts w:ascii="Century Gothic" w:hAnsi="Century Gothic"/>
          <w:color w:val="000000"/>
          <w:sz w:val="18"/>
          <w:szCs w:val="18"/>
        </w:rPr>
        <w:br/>
      </w:r>
      <w:r>
        <w:rPr>
          <w:rFonts w:ascii="Century Gothic" w:hAnsi="Century Gothic"/>
          <w:color w:val="000000"/>
          <w:sz w:val="18"/>
        </w:rPr>
        <w:t xml:space="preserve">Paso 2: Coloque una </w:t>
      </w:r>
      <w:r w:rsidRPr="007C392F">
        <w:rPr>
          <w:rFonts w:ascii="Century Gothic" w:hAnsi="Century Gothic"/>
          <w:b/>
          <w:bCs/>
          <w:color w:val="000000"/>
          <w:sz w:val="18"/>
          <w:szCs w:val="18"/>
        </w:rPr>
        <w:t>B</w:t>
      </w:r>
      <w:r>
        <w:rPr>
          <w:rFonts w:ascii="Century Gothic" w:hAnsi="Century Gothic"/>
          <w:color w:val="000000"/>
          <w:sz w:val="18"/>
        </w:rPr>
        <w:t xml:space="preserve"> en la columna que represente más estrechamente la cultura actual de la empresa adquirida. </w:t>
      </w:r>
      <w:r w:rsidRPr="007C392F">
        <w:rPr>
          <w:rFonts w:ascii="Century Gothic" w:hAnsi="Century Gothic"/>
          <w:color w:val="000000"/>
          <w:sz w:val="18"/>
          <w:szCs w:val="18"/>
        </w:rPr>
        <w:br/>
      </w:r>
      <w:r w:rsidRPr="007C392F">
        <w:rPr>
          <w:rFonts w:ascii="Century Gothic" w:hAnsi="Century Gothic"/>
          <w:color w:val="000000"/>
          <w:sz w:val="18"/>
          <w:szCs w:val="18"/>
        </w:rPr>
        <w:br/>
      </w:r>
      <w:r>
        <w:rPr>
          <w:rFonts w:ascii="Century Gothic" w:hAnsi="Century Gothic"/>
          <w:color w:val="000000"/>
          <w:sz w:val="18"/>
        </w:rPr>
        <w:t>Paso 3: Calcule la diferencia absoluta entre cada clasificación para determinar las principales brechas de cultura.</w:t>
      </w:r>
    </w:p>
    <w:p w14:paraId="52DF6F6F" w14:textId="77777777" w:rsidR="00BF4668" w:rsidRDefault="00BF4668" w:rsidP="002A3CCC">
      <w:pPr>
        <w:pStyle w:val="Header"/>
        <w:rPr>
          <w:rFonts w:ascii="Century Gothic" w:hAnsi="Century Gothic" w:cs="Arial"/>
          <w:b/>
          <w:color w:val="808080" w:themeColor="background1" w:themeShade="80"/>
          <w:sz w:val="10"/>
          <w:szCs w:val="10"/>
        </w:rPr>
      </w:pPr>
    </w:p>
    <w:p w14:paraId="60C2E93D" w14:textId="77777777" w:rsidR="00BF4668" w:rsidRDefault="00BF4668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C392F" w14:paraId="3DC9B344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07AA2ED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ORIENTACIÓN ESTRATÉGICA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BC928C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F2F1DF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D9E1A6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5678A5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032993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02DF2D5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C392F" w:rsidRPr="007C392F" w14:paraId="142FF2A3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EF0207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Orientado al cliente/mercado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2DCDF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4252B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6C313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A8D2B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A77D4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7D2638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Basado en la tecnología </w:t>
            </w:r>
          </w:p>
        </w:tc>
      </w:tr>
      <w:tr w:rsidR="007C392F" w:rsidRPr="007C392F" w14:paraId="2422FCED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E7C04D9" w14:textId="77777777" w:rsidR="007C392F" w:rsidRPr="007C392F" w:rsidRDefault="00915D9D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Orientado a las ganancias a largo plazo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6D2C40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EB85B6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196493E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D84A16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431742B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842577B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Orientado a las ganancias a corto plazo </w:t>
            </w:r>
          </w:p>
        </w:tc>
      </w:tr>
      <w:tr w:rsidR="007C392F" w:rsidRPr="007C392F" w14:paraId="557B18D2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4DD1A8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Los empleados entienden y están comprometidos con la estrategia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7117C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A965E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B68B5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0C1BD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95BAE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305D61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Los empleados no entienden o no están comprometidos con la estrategia </w:t>
            </w:r>
          </w:p>
        </w:tc>
      </w:tr>
      <w:tr w:rsidR="007C392F" w:rsidRPr="007C392F" w14:paraId="6E048254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E740E2C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Centrado en la actividad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5509EA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0E433E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DA7214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FB4286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D80186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634AE03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Centrado en los resultados </w:t>
            </w:r>
          </w:p>
        </w:tc>
      </w:tr>
      <w:tr w:rsidR="007C392F" w:rsidRPr="007C392F" w14:paraId="07E83CFA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08B72B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Enfocado estratégicamente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67C0C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5AF85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F70DF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E03C5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7692A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E485A8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Centrado en las operaciones o en las crisis </w:t>
            </w:r>
          </w:p>
        </w:tc>
      </w:tr>
      <w:tr w:rsidR="007C392F" w:rsidRPr="007C392F" w14:paraId="655B7410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377E61C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Seguidor con iniciativa con respecto a las instrucciones del producto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9C3AF3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325B25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8367F0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DB412D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042F5F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3E3630B" w14:textId="77777777" w:rsidR="007C392F" w:rsidRPr="007C392F" w:rsidRDefault="00915D9D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Productos de vanguardia </w:t>
            </w:r>
          </w:p>
        </w:tc>
      </w:tr>
      <w:tr w:rsidR="007C392F" w:rsidRPr="007C392F" w14:paraId="53025320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doub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807497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Lento para responder a la dinámica del mercado 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05721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F7914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8D7F2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53C8B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48149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4B6F86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Flexible y altamente receptivo al mercado </w:t>
            </w:r>
          </w:p>
        </w:tc>
      </w:tr>
      <w:tr w:rsidR="007C392F" w:rsidRPr="007C392F" w14:paraId="54E6A366" w14:textId="77777777" w:rsidTr="007C392F">
        <w:trPr>
          <w:trHeight w:val="440"/>
        </w:trPr>
        <w:tc>
          <w:tcPr>
            <w:tcW w:w="4540" w:type="dxa"/>
            <w:tcBorders>
              <w:top w:val="double" w:sz="4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B3BDEC0" w14:textId="77777777" w:rsidR="007C392F" w:rsidRPr="007C392F" w:rsidRDefault="007C392F" w:rsidP="007C392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DIFERENCIA ABSOLUTA</w:t>
            </w:r>
          </w:p>
        </w:tc>
        <w:tc>
          <w:tcPr>
            <w:tcW w:w="2200" w:type="dxa"/>
            <w:gridSpan w:val="5"/>
            <w:tcBorders>
              <w:top w:val="doub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DD235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doub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DEA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F1762E3" w14:textId="77777777" w:rsidR="00A47BB0" w:rsidRDefault="00A47BB0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2F396858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C392F" w14:paraId="1E840A8B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864D58E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COMUNICACIÓN}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F617D6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A14C9E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A93B6C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FD7F22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A7146F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6BC3D2F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C392F" w:rsidRPr="007C392F" w14:paraId="75733017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954180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Enfoque descendente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FE9E8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14380B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B6F52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E6EBF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F87CE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DBF5D8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Tres vías</w:t>
            </w:r>
          </w:p>
        </w:tc>
      </w:tr>
      <w:tr w:rsidR="007C392F" w:rsidRPr="007C392F" w14:paraId="53E89C6A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F08E448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Detección infrecuente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32A76CB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F1C456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A9E68F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A2E881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6273CC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A52C1FA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Detección frecuente </w:t>
            </w:r>
          </w:p>
        </w:tc>
      </w:tr>
      <w:tr w:rsidR="007C392F" w:rsidRPr="007C392F" w14:paraId="13FF227B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56D72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Filtrado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04673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F8505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2E1B2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D3837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66B10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A29371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Abierto/sincero </w:t>
            </w:r>
          </w:p>
        </w:tc>
      </w:tr>
      <w:tr w:rsidR="007C392F" w:rsidRPr="007C392F" w14:paraId="4BF88CCA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DDA86A6" w14:textId="77777777" w:rsidR="007C392F" w:rsidRPr="007C392F" w:rsidRDefault="007C392F" w:rsidP="007C392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DIFERENCIA ABSOLUTA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36C707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36C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93DF2D5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789999DC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C392F" w14:paraId="00AA226C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7B08DE0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CAPACITACIÓN Y DESARROLLO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B3F951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146FDC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B82892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9D41FB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9D1900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79094D2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C392F" w:rsidRPr="007C392F" w14:paraId="5F5BF4C4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F72C87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Oportunidad considerable para el desarrollo de los empleados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73FFB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2648E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C72B8B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DE4FBB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A5A9C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6EFFE7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Oportunidad limitada para el desarrollo de los empleados </w:t>
            </w:r>
          </w:p>
        </w:tc>
      </w:tr>
      <w:tr w:rsidR="007C392F" w:rsidRPr="007C392F" w14:paraId="29022CEF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5C9F7B7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El desarrollo se basa en mecanismos informales con grandes grados de latitud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03112A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5A47A9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1FFAD0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89CB10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E40B6E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3B4C54E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El desarrollo está estrechamente alineado con el modelo de competencia o la escalera profesional </w:t>
            </w:r>
          </w:p>
        </w:tc>
      </w:tr>
      <w:tr w:rsidR="007C392F" w:rsidRPr="007C392F" w14:paraId="72F191CF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82A05E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El desarrollo se centra en el trabajo actual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4F244B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302B8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02FBE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861A7E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B3243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8261E0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El desarrollo se centra en trabajos actuales y futuros </w:t>
            </w:r>
          </w:p>
        </w:tc>
      </w:tr>
      <w:tr w:rsidR="007C392F" w:rsidRPr="007C392F" w14:paraId="2D17A32A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8739E52" w14:textId="77777777" w:rsidR="007C392F" w:rsidRPr="007C392F" w:rsidRDefault="007C392F" w:rsidP="007C392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DIFERENCIA ABSOLUTA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68D8DD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AFEB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EDB3F19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3C108ECE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62433DE4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  <w:sectPr w:rsidR="007C392F" w:rsidSect="007C392F">
          <w:pgSz w:w="12240" w:h="15840"/>
          <w:pgMar w:top="490" w:right="432" w:bottom="432" w:left="475" w:header="720" w:footer="720" w:gutter="0"/>
          <w:cols w:space="720"/>
          <w:docGrid w:linePitch="360"/>
        </w:sect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C392F" w14:paraId="009D2484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8AA317D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lastRenderedPageBreak/>
              <w:t>RECOMPENSAS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439643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8C5BF8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552B24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08E4C1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E0B248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C85B5D3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C392F" w:rsidRPr="007C392F" w14:paraId="3D982B84" w14:textId="77777777" w:rsidTr="003525CC">
        <w:trPr>
          <w:trHeight w:val="493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8E8CA9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Enfoque en recompensar el desempeño individual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B6E56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8C1DC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5F9D6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26071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EB615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02FC5B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Equilibrio entre las recompensas por desempeño individual y del equipo </w:t>
            </w:r>
          </w:p>
        </w:tc>
      </w:tr>
      <w:tr w:rsidR="007C392F" w:rsidRPr="007C392F" w14:paraId="26D6D098" w14:textId="77777777" w:rsidTr="003525CC">
        <w:trPr>
          <w:trHeight w:val="716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1CA358E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Los empleados tienen una participación mínima en el establecimiento de las expectativas de desempeño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57550D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0AA3FA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E59192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B26B01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63DD0F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C86B4E8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Los empleados tienen una participación considerable en el establecimiento de las especificaciones de desempeño </w:t>
            </w:r>
          </w:p>
        </w:tc>
      </w:tr>
      <w:tr w:rsidR="007C392F" w:rsidRPr="007C392F" w14:paraId="493D5372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0D266C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Basado en la antigüedad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87B07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8A682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CB6C1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FEEE8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12474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444CA7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Basado en el rendimiento </w:t>
            </w:r>
          </w:p>
        </w:tc>
      </w:tr>
      <w:tr w:rsidR="007C392F" w:rsidRPr="007C392F" w14:paraId="30AF72F0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0B71FC5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Estándares de desempeño claros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C4A9CD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5708B0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9923C9E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A2C78B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71F5C3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922A20C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Estándares de desempeño ambiguos </w:t>
            </w:r>
          </w:p>
        </w:tc>
      </w:tr>
      <w:tr w:rsidR="007C392F" w:rsidRPr="007C392F" w14:paraId="07158A49" w14:textId="77777777" w:rsidTr="003525CC">
        <w:trPr>
          <w:trHeight w:val="506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D92D17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Compensación igual o superior al promedio del mercado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A3A54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0820B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DB950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F0D5C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4621E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8EDF33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Compensación inferior al promedio del mercado </w:t>
            </w:r>
          </w:p>
        </w:tc>
      </w:tr>
      <w:tr w:rsidR="007C392F" w:rsidRPr="007C392F" w14:paraId="3695427C" w14:textId="77777777" w:rsidTr="003525CC">
        <w:trPr>
          <w:trHeight w:val="520"/>
        </w:trPr>
        <w:tc>
          <w:tcPr>
            <w:tcW w:w="45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66D56E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Los empleados reciben comentarios regulares sobre el desempeño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416BEA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79D7A9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F73DB5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AB2DAE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A845CC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2E92DF8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Los empleados no reciben comentarios regulares sobre el desempeño </w:t>
            </w:r>
          </w:p>
        </w:tc>
      </w:tr>
      <w:tr w:rsidR="007C392F" w:rsidRPr="007C392F" w14:paraId="22405D91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7245C27" w14:textId="77777777" w:rsidR="007C392F" w:rsidRPr="007C392F" w:rsidRDefault="007C392F" w:rsidP="007C392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DIFERENCIA ABSOLUTA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8EFF41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2CB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A52404C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6079550F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C392F" w14:paraId="66C3EB75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9C11C28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TOMA DE DECISIONES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062001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AAAA98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0378AC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DD38DD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7F56EF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DAFA7C4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C392F" w:rsidRPr="007C392F" w14:paraId="4EACBF38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2CDEDE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Lento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6EABB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BD4BE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15323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3406EE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FA8CB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F40692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Rápido </w:t>
            </w:r>
          </w:p>
        </w:tc>
      </w:tr>
      <w:tr w:rsidR="007C392F" w:rsidRPr="007C392F" w14:paraId="18BCFA57" w14:textId="77777777" w:rsidTr="003525CC">
        <w:trPr>
          <w:trHeight w:val="506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4309950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Toma de decisiones centralizada/varios niveles de aprobación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776875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9325F4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C7D343B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A49795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FC0405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D71259F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Pocos niveles de aprobación y amplios rangos de control </w:t>
            </w:r>
          </w:p>
        </w:tc>
      </w:tr>
      <w:tr w:rsidR="007C392F" w:rsidRPr="007C392F" w14:paraId="254150E9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DC8A36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Analítico/cauteloso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AF12B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6D827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3311D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3FE2D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EEDAAE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4806FF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Intuitivo/audaz </w:t>
            </w:r>
          </w:p>
        </w:tc>
      </w:tr>
      <w:tr w:rsidR="007C392F" w:rsidRPr="007C392F" w14:paraId="53C5219E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C9C02D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Los niveles de autoridad se entienden claramente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7DE6DC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B25D5D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58A5B1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7D4AF0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54AC80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E88863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Existe confusión en cuanto a los niveles de autoridad </w:t>
            </w:r>
          </w:p>
        </w:tc>
      </w:tr>
      <w:tr w:rsidR="007C392F" w:rsidRPr="007C392F" w14:paraId="65DED537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CA79A91" w14:textId="77777777" w:rsidR="007C392F" w:rsidRPr="007C392F" w:rsidRDefault="007C392F" w:rsidP="007C392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DIFERENCIA ABSOLUTA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E1834B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AD2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0A68376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7F0E0F98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C392F" w14:paraId="36AA2F07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979303B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TOMA DE RIESGOS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93C249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353C66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FEF8E0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4285AE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B33A71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79DAAB2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C392F" w:rsidRPr="007C392F" w14:paraId="74C7024A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DAFA82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Reacio al riesgo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0C91456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1DE92D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F875D8E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71CF43D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CD2B854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F64523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Se fomenta la toma de riesgos calculada </w:t>
            </w:r>
          </w:p>
        </w:tc>
      </w:tr>
      <w:tr w:rsidR="007C392F" w:rsidRPr="007C392F" w14:paraId="26BCD8FA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1AFC207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Los errores son castigados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1EB344D0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5E6390DD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2CB95C0E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5E0D62E5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4297D4EA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CFFA29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La innovación se recompensa </w:t>
            </w:r>
          </w:p>
        </w:tc>
      </w:tr>
      <w:tr w:rsidR="007C392F" w:rsidRPr="007C392F" w14:paraId="75711728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DCBFBE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La gerencia no solicita ni actúa sobre las ideas de mejora de los empleados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B4BC74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AEA593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12E6EC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31C281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EFF8F60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2C3EC7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La gerencia fomenta y actúa rápidamente sobre las ideas de mejora de los empleados </w:t>
            </w:r>
          </w:p>
        </w:tc>
      </w:tr>
      <w:tr w:rsidR="007C392F" w:rsidRPr="007C392F" w14:paraId="1C87E167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E924296" w14:textId="77777777" w:rsidR="007C392F" w:rsidRPr="007C392F" w:rsidRDefault="007C392F" w:rsidP="007C392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DIFERENCIA ABSOLUTA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C111B1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BD0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3DEE092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385A04B3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C392F" w14:paraId="199912AE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07321B0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PLANIFICACIÓN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BE054E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825CE0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D5EA20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27B20E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8A99AB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DA0B6FD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C392F" w:rsidRPr="007C392F" w14:paraId="6660E828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6E5FF9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 corto plazo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64A73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17038C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3E386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069DA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FDB38D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2108F1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 largo plazo </w:t>
            </w:r>
          </w:p>
        </w:tc>
      </w:tr>
      <w:tr w:rsidR="007C392F" w:rsidRPr="007C392F" w14:paraId="75ACA8A8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EB721DF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Reactivo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429B2B9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55E4604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354E598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19CCC8A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6039EB1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8FC649D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Proactivo </w:t>
            </w:r>
          </w:p>
        </w:tc>
      </w:tr>
      <w:tr w:rsidR="007C392F" w:rsidRPr="007C392F" w14:paraId="58C0A134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CF3C20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Informal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84284A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E792E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FA422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CA08B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0BD809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FB0377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Formal </w:t>
            </w:r>
          </w:p>
        </w:tc>
      </w:tr>
      <w:tr w:rsidR="007C392F" w:rsidRPr="007C392F" w14:paraId="6685241E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0F531D6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Intuitivo sobre la competencia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0985D8CE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6EDB064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638C37B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15425F9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2E5A043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E607C16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Supervisar constantemente la competencia </w:t>
            </w:r>
          </w:p>
        </w:tc>
      </w:tr>
      <w:tr w:rsidR="007C392F" w:rsidRPr="007C392F" w14:paraId="4A44BC11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CC781B8" w14:textId="77777777" w:rsidR="007C392F" w:rsidRPr="007C392F" w:rsidRDefault="007C392F" w:rsidP="007C392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DIFERENCIA ABSOLUTA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CC83C1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47A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9EFAF51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0B2599C9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3C8961F3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7D7F8E60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2185F6AF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  <w:sectPr w:rsidR="007C392F" w:rsidSect="007C392F">
          <w:pgSz w:w="12240" w:h="15840"/>
          <w:pgMar w:top="490" w:right="432" w:bottom="432" w:left="475" w:header="720" w:footer="720" w:gutter="0"/>
          <w:cols w:space="720"/>
          <w:docGrid w:linePitch="360"/>
        </w:sect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C392F" w14:paraId="45606BA5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B554A27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lastRenderedPageBreak/>
              <w:t>TRABAJO EN EQUIPO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20A84F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89B1C6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19D186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2BECDE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CED517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75AE719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C392F" w:rsidRPr="007C392F" w14:paraId="1A88E539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0E704F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Baja cooperación entre departamentos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F7589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0EAD8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2362D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92B8C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C8784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B9F8C2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Alta cooperación entre departamentos </w:t>
            </w:r>
          </w:p>
        </w:tc>
      </w:tr>
      <w:tr w:rsidR="007C392F" w:rsidRPr="007C392F" w14:paraId="78B1B728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0CE7EC5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Baja confianza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CE214D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846950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6D049B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FA7F9D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A27C42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9C13D5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Alta confianza </w:t>
            </w:r>
          </w:p>
        </w:tc>
      </w:tr>
      <w:tr w:rsidR="007C392F" w:rsidRPr="007C392F" w14:paraId="4ED6B254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C5F22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Perspectiva aislada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6A80E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DF164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67444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B3AD4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0AD02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DF9EA9" w14:textId="77777777" w:rsidR="007C392F" w:rsidRPr="007C392F" w:rsidRDefault="00915D9D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Perspectiva entre disciplinas/procesos </w:t>
            </w:r>
          </w:p>
        </w:tc>
      </w:tr>
      <w:tr w:rsidR="007C392F" w:rsidRPr="007C392F" w14:paraId="084D5AA1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8420CD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El conflicto se expone y se resuelve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EB1B9B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68EFFE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FCC8E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AB3A99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97E131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AF689E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La cultura es cortés y se evitan conflictos </w:t>
            </w:r>
          </w:p>
        </w:tc>
      </w:tr>
      <w:tr w:rsidR="007C392F" w:rsidRPr="007C392F" w14:paraId="333FBACA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A9A9541" w14:textId="77777777" w:rsidR="007C392F" w:rsidRPr="007C392F" w:rsidRDefault="007C392F" w:rsidP="007C392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DIFERENCIA ABSOLUTA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5C8C0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788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EEDADA0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6F2AAF95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C392F" w14:paraId="37C56F0C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39EECE0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PRÁCTICAS DE GESTIÓN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2F2300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02A6B6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666C12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F0CEFA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E53990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821E7C6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C392F" w:rsidRPr="007C392F" w14:paraId="7E221A7C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41EA37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Los líderes son motivadores fuertes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C3051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A622C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91491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AEE46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7D41D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52FF8A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Los líderes son paternalistas </w:t>
            </w:r>
          </w:p>
        </w:tc>
      </w:tr>
      <w:tr w:rsidR="007C392F" w:rsidRPr="007C392F" w14:paraId="7C152AB6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D5F0094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Las políticas se aplican de manera uniforme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0A61F9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0166DA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77A317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5C8246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A29678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1754CEF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Las políticas se aplican de forma arbitraria </w:t>
            </w:r>
          </w:p>
        </w:tc>
      </w:tr>
      <w:tr w:rsidR="007C392F" w:rsidRPr="007C392F" w14:paraId="0DDF92E8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1489AB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Altos niveles de comentarios y coaching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F2413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BC712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4E02BE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CC0C7E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07EC9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0CBDF1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Comentarios y coaching poco frecuentes o nulos </w:t>
            </w:r>
          </w:p>
        </w:tc>
      </w:tr>
      <w:tr w:rsidR="007C392F" w:rsidRPr="007C392F" w14:paraId="14784F94" w14:textId="77777777" w:rsidTr="003525CC">
        <w:trPr>
          <w:trHeight w:val="548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138547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Algunos procedimientos, políticas y reglas de negocios innecesarios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8ECDB1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19D190E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2D70DEB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F3DD66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257D63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EC19B86" w14:textId="77777777" w:rsidR="007C392F" w:rsidRPr="003525CC" w:rsidRDefault="007C392F" w:rsidP="007C392F">
            <w:pPr>
              <w:rPr>
                <w:rFonts w:ascii="Century Gothic" w:eastAsia="Times New Roman" w:hAnsi="Century Gothic" w:cs="Calibri"/>
                <w:color w:val="000000"/>
                <w:spacing w:val="-2"/>
                <w:sz w:val="16"/>
                <w:szCs w:val="16"/>
              </w:rPr>
            </w:pPr>
            <w:r w:rsidRPr="003525CC">
              <w:rPr>
                <w:rFonts w:ascii="Century Gothic" w:hAnsi="Century Gothic"/>
                <w:color w:val="000000"/>
                <w:spacing w:val="-2"/>
                <w:sz w:val="16"/>
              </w:rPr>
              <w:t>Procedimientos, políticas y reglas de negocios que se utilizan para guiar el comportamiento de los empleados </w:t>
            </w:r>
          </w:p>
        </w:tc>
      </w:tr>
      <w:tr w:rsidR="007C392F" w:rsidRPr="007C392F" w14:paraId="35E3D9B7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91A9D2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Basado en costos y control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2CBAF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0CD81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C9CB4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88717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75695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575EFC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Impulsado por servicio y calidad </w:t>
            </w:r>
          </w:p>
        </w:tc>
      </w:tr>
      <w:tr w:rsidR="007C392F" w:rsidRPr="007C392F" w14:paraId="3BD364E5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124181A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Las personas se sienten apreciadas y valoradas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0BD500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9B3C0F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FFE66F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DC039F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27D843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445FBA2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Las personas no se sienten apreciadas y valoradas </w:t>
            </w:r>
          </w:p>
        </w:tc>
      </w:tr>
      <w:tr w:rsidR="007C392F" w:rsidRPr="007C392F" w14:paraId="01879D60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D28686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Entorno de bajo estrés/agotamiento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7F9AA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5C8F3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EF4B0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1E5D2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E7920E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DAFF7A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Entorno de alta carga de trabajo/largas horas de trabajo </w:t>
            </w:r>
          </w:p>
        </w:tc>
      </w:tr>
      <w:tr w:rsidR="007C392F" w:rsidRPr="007C392F" w14:paraId="3EB85FFC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AAD2C3D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El personal adopta el cambio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086FB1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55CCD3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438D79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3B3D9A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5B1CA0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0A0AA76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El personal se esfuerza por mantener el statu quo </w:t>
            </w:r>
          </w:p>
        </w:tc>
      </w:tr>
      <w:tr w:rsidR="007C392F" w:rsidRPr="007C392F" w14:paraId="7E670C42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2472EB3" w14:textId="77777777" w:rsidR="007C392F" w:rsidRPr="007C392F" w:rsidRDefault="007C392F" w:rsidP="007C392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DIFERENCIA ABSOLUTA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D74EF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12B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24E4400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1F938FF0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C392F" w14:paraId="14D2C5E3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B05BF27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ESTRUCTURA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6833A9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36CBE8E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DD70A6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DB7E45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2BEE6C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0A7EA43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C392F" w:rsidRPr="007C392F" w14:paraId="0B8E6432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FE5C1F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Roles claramente entendidos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20F61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8EA34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19E3F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4B04B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0000A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25ADEE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Ambigüedad considerable de los roles </w:t>
            </w:r>
          </w:p>
        </w:tc>
      </w:tr>
      <w:tr w:rsidR="007C392F" w:rsidRPr="007C392F" w14:paraId="1DDA4229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0A698BE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La organización es plana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23EB54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ABD08D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108BB6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709569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C4B132E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72B9405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La organización tiene muchas capas </w:t>
            </w:r>
          </w:p>
        </w:tc>
      </w:tr>
      <w:tr w:rsidR="007C392F" w:rsidRPr="007C392F" w14:paraId="23B49C6F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928D72A" w14:textId="77777777" w:rsidR="007C392F" w:rsidRPr="007C392F" w:rsidRDefault="007C392F" w:rsidP="007C392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DIFERENCIA ABSOLUTA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D34FE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557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2E21EDF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17C734F8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C392F" w14:paraId="19DCAD9B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047CD68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TECNOLOGÍA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D9FFB4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D77AD3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33D939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C52E11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291164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310781D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C392F" w:rsidRPr="007C392F" w14:paraId="6CAE586E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FCC835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Los empleados tienen acceso a la información que necesitan para tener éxito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997C3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3FE19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BF196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3D73CE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90905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FD04D0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La información es deficiente, inoportuna o incorrecta </w:t>
            </w:r>
          </w:p>
        </w:tc>
      </w:tr>
      <w:tr w:rsidR="007C392F" w:rsidRPr="007C392F" w14:paraId="118072C8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7836EFD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Lenta adopción de las nuevas tecnologías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845EA0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D2EF93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E1B661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C2808F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6ED0E0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F3FE6A7" w14:textId="77777777" w:rsidR="007C392F" w:rsidRPr="007C392F" w:rsidRDefault="00915D9D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Adopción rápida o tecnología de vanguardia utilizada</w:t>
            </w:r>
          </w:p>
        </w:tc>
      </w:tr>
      <w:tr w:rsidR="007C392F" w:rsidRPr="007C392F" w14:paraId="51B4C8F0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7C01B88" w14:textId="77777777" w:rsidR="007C392F" w:rsidRPr="007C392F" w:rsidRDefault="007C392F" w:rsidP="007C392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DIFERENCIA ABSOLUTA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ECDEB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CFB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F8D80F9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  <w:sectPr w:rsidR="007C392F" w:rsidSect="007C392F">
          <w:pgSz w:w="12240" w:h="15840"/>
          <w:pgMar w:top="490" w:right="432" w:bottom="432" w:left="475" w:header="720" w:footer="720" w:gutter="0"/>
          <w:cols w:space="720"/>
          <w:docGrid w:linePitch="360"/>
        </w:sectPr>
      </w:pPr>
    </w:p>
    <w:p w14:paraId="12998582" w14:textId="77777777" w:rsidR="008A7F1D" w:rsidRDefault="008A7F1D" w:rsidP="000732A0"/>
    <w:p w14:paraId="26A396C8" w14:textId="77777777" w:rsidR="00794C02" w:rsidRPr="00491059" w:rsidRDefault="00794C02" w:rsidP="000732A0"/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0732A0" w:rsidRPr="00491059" w14:paraId="1E36FA2D" w14:textId="77777777" w:rsidTr="003525CC">
        <w:trPr>
          <w:trHeight w:val="2701"/>
        </w:trPr>
        <w:tc>
          <w:tcPr>
            <w:tcW w:w="10583" w:type="dxa"/>
          </w:tcPr>
          <w:p w14:paraId="6CDC463A" w14:textId="77777777" w:rsidR="000732A0" w:rsidRPr="00CB3106" w:rsidRDefault="000732A0" w:rsidP="00B71E72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RENUNCIA</w:t>
            </w:r>
          </w:p>
          <w:p w14:paraId="597F1B86" w14:textId="77777777" w:rsidR="000732A0" w:rsidRPr="00491059" w:rsidRDefault="000732A0" w:rsidP="00B71E72"/>
          <w:p w14:paraId="7C4FD8A4" w14:textId="77777777" w:rsidR="000732A0" w:rsidRPr="00491059" w:rsidRDefault="000732A0" w:rsidP="00B71E72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3E2847B8" w14:textId="77777777" w:rsidR="000732A0" w:rsidRPr="00491059" w:rsidRDefault="000732A0" w:rsidP="000732A0"/>
    <w:p w14:paraId="2A54409A" w14:textId="77777777" w:rsidR="00122EFB" w:rsidRPr="000732A0" w:rsidRDefault="00122EFB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0732A0" w:rsidSect="00C51350">
      <w:pgSz w:w="12240" w:h="15840"/>
      <w:pgMar w:top="486" w:right="441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0DE96" w14:textId="77777777" w:rsidR="00BB2E21" w:rsidRDefault="00BB2E21" w:rsidP="00B01A05">
      <w:r>
        <w:separator/>
      </w:r>
    </w:p>
  </w:endnote>
  <w:endnote w:type="continuationSeparator" w:id="0">
    <w:p w14:paraId="5853E0F4" w14:textId="77777777" w:rsidR="00BB2E21" w:rsidRDefault="00BB2E21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854A7" w14:textId="77777777" w:rsidR="00BB2E21" w:rsidRDefault="00BB2E21" w:rsidP="00B01A05">
      <w:r>
        <w:separator/>
      </w:r>
    </w:p>
  </w:footnote>
  <w:footnote w:type="continuationSeparator" w:id="0">
    <w:p w14:paraId="79EC5024" w14:textId="77777777" w:rsidR="00BB2E21" w:rsidRDefault="00BB2E21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720514875">
    <w:abstractNumId w:val="7"/>
  </w:num>
  <w:num w:numId="2" w16cid:durableId="677080742">
    <w:abstractNumId w:val="8"/>
  </w:num>
  <w:num w:numId="3" w16cid:durableId="1238445560">
    <w:abstractNumId w:val="5"/>
  </w:num>
  <w:num w:numId="4" w16cid:durableId="475537345">
    <w:abstractNumId w:val="9"/>
  </w:num>
  <w:num w:numId="5" w16cid:durableId="1907567847">
    <w:abstractNumId w:val="12"/>
  </w:num>
  <w:num w:numId="6" w16cid:durableId="724959726">
    <w:abstractNumId w:val="3"/>
  </w:num>
  <w:num w:numId="7" w16cid:durableId="281158650">
    <w:abstractNumId w:val="6"/>
  </w:num>
  <w:num w:numId="8" w16cid:durableId="1035622753">
    <w:abstractNumId w:val="2"/>
  </w:num>
  <w:num w:numId="9" w16cid:durableId="724984093">
    <w:abstractNumId w:val="11"/>
  </w:num>
  <w:num w:numId="10" w16cid:durableId="1700663898">
    <w:abstractNumId w:val="0"/>
  </w:num>
  <w:num w:numId="11" w16cid:durableId="1097167075">
    <w:abstractNumId w:val="10"/>
  </w:num>
  <w:num w:numId="12" w16cid:durableId="388111454">
    <w:abstractNumId w:val="4"/>
  </w:num>
  <w:num w:numId="13" w16cid:durableId="922446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BE"/>
    <w:rsid w:val="0000378B"/>
    <w:rsid w:val="000068A2"/>
    <w:rsid w:val="00007337"/>
    <w:rsid w:val="000127C8"/>
    <w:rsid w:val="00043993"/>
    <w:rsid w:val="00044BBF"/>
    <w:rsid w:val="00056F3E"/>
    <w:rsid w:val="0007196B"/>
    <w:rsid w:val="00072091"/>
    <w:rsid w:val="000732A0"/>
    <w:rsid w:val="00074389"/>
    <w:rsid w:val="00080214"/>
    <w:rsid w:val="000809A7"/>
    <w:rsid w:val="000A7AEF"/>
    <w:rsid w:val="000B31AF"/>
    <w:rsid w:val="000B7C36"/>
    <w:rsid w:val="000C1664"/>
    <w:rsid w:val="000C2B36"/>
    <w:rsid w:val="000C5AA8"/>
    <w:rsid w:val="000D7167"/>
    <w:rsid w:val="00120CC1"/>
    <w:rsid w:val="001224AD"/>
    <w:rsid w:val="00122EFB"/>
    <w:rsid w:val="0014046B"/>
    <w:rsid w:val="001405DC"/>
    <w:rsid w:val="00141D80"/>
    <w:rsid w:val="001433AA"/>
    <w:rsid w:val="00147E70"/>
    <w:rsid w:val="00151E0E"/>
    <w:rsid w:val="00157D89"/>
    <w:rsid w:val="0016761D"/>
    <w:rsid w:val="00167875"/>
    <w:rsid w:val="001756F3"/>
    <w:rsid w:val="001977AD"/>
    <w:rsid w:val="001A1144"/>
    <w:rsid w:val="001B40AD"/>
    <w:rsid w:val="001B7BF0"/>
    <w:rsid w:val="001C4AE1"/>
    <w:rsid w:val="001D0184"/>
    <w:rsid w:val="001E6E07"/>
    <w:rsid w:val="001F2768"/>
    <w:rsid w:val="001F43EE"/>
    <w:rsid w:val="001F69A7"/>
    <w:rsid w:val="002050AC"/>
    <w:rsid w:val="00213767"/>
    <w:rsid w:val="002138D4"/>
    <w:rsid w:val="002200FE"/>
    <w:rsid w:val="00221E7B"/>
    <w:rsid w:val="002306C0"/>
    <w:rsid w:val="00234C37"/>
    <w:rsid w:val="00243542"/>
    <w:rsid w:val="00244C0D"/>
    <w:rsid w:val="002A3CCC"/>
    <w:rsid w:val="002B44C0"/>
    <w:rsid w:val="002D4552"/>
    <w:rsid w:val="002E389F"/>
    <w:rsid w:val="002F0105"/>
    <w:rsid w:val="002F2BD7"/>
    <w:rsid w:val="00326F2C"/>
    <w:rsid w:val="00350115"/>
    <w:rsid w:val="003525CC"/>
    <w:rsid w:val="003566B4"/>
    <w:rsid w:val="00365F95"/>
    <w:rsid w:val="00384D6E"/>
    <w:rsid w:val="00384D8F"/>
    <w:rsid w:val="00385F26"/>
    <w:rsid w:val="003A25E1"/>
    <w:rsid w:val="003A5B09"/>
    <w:rsid w:val="003C0DBC"/>
    <w:rsid w:val="003C1D9E"/>
    <w:rsid w:val="003C3A1F"/>
    <w:rsid w:val="003C7519"/>
    <w:rsid w:val="003E6010"/>
    <w:rsid w:val="003F22FF"/>
    <w:rsid w:val="003F7C1A"/>
    <w:rsid w:val="00401C32"/>
    <w:rsid w:val="00403C51"/>
    <w:rsid w:val="00404144"/>
    <w:rsid w:val="00405920"/>
    <w:rsid w:val="00413DC8"/>
    <w:rsid w:val="004159C0"/>
    <w:rsid w:val="004326B5"/>
    <w:rsid w:val="00450F02"/>
    <w:rsid w:val="00464788"/>
    <w:rsid w:val="00474ED0"/>
    <w:rsid w:val="00480D77"/>
    <w:rsid w:val="00485F48"/>
    <w:rsid w:val="00492C36"/>
    <w:rsid w:val="004961C2"/>
    <w:rsid w:val="00497160"/>
    <w:rsid w:val="00497AB5"/>
    <w:rsid w:val="004B21E8"/>
    <w:rsid w:val="004B6908"/>
    <w:rsid w:val="004C19F3"/>
    <w:rsid w:val="004C4EA9"/>
    <w:rsid w:val="004D5253"/>
    <w:rsid w:val="004D53F9"/>
    <w:rsid w:val="004D5595"/>
    <w:rsid w:val="00503EBA"/>
    <w:rsid w:val="005109C3"/>
    <w:rsid w:val="00517F69"/>
    <w:rsid w:val="00535276"/>
    <w:rsid w:val="00542511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E4CE6"/>
    <w:rsid w:val="005F1785"/>
    <w:rsid w:val="005F72D9"/>
    <w:rsid w:val="00600E33"/>
    <w:rsid w:val="00602833"/>
    <w:rsid w:val="00622259"/>
    <w:rsid w:val="0062450E"/>
    <w:rsid w:val="006568B4"/>
    <w:rsid w:val="00665F5E"/>
    <w:rsid w:val="00666A49"/>
    <w:rsid w:val="00666C1E"/>
    <w:rsid w:val="00673098"/>
    <w:rsid w:val="00673A28"/>
    <w:rsid w:val="00692B64"/>
    <w:rsid w:val="006C620E"/>
    <w:rsid w:val="006C6A0C"/>
    <w:rsid w:val="006C70FB"/>
    <w:rsid w:val="006F5384"/>
    <w:rsid w:val="006F5DD9"/>
    <w:rsid w:val="00700262"/>
    <w:rsid w:val="00702DDD"/>
    <w:rsid w:val="00706669"/>
    <w:rsid w:val="00712488"/>
    <w:rsid w:val="00714AFB"/>
    <w:rsid w:val="00716677"/>
    <w:rsid w:val="00717895"/>
    <w:rsid w:val="0073139E"/>
    <w:rsid w:val="00750BF6"/>
    <w:rsid w:val="00761512"/>
    <w:rsid w:val="00762989"/>
    <w:rsid w:val="00763525"/>
    <w:rsid w:val="00764502"/>
    <w:rsid w:val="007772D3"/>
    <w:rsid w:val="00781CE1"/>
    <w:rsid w:val="00782BD5"/>
    <w:rsid w:val="007872BC"/>
    <w:rsid w:val="00794C02"/>
    <w:rsid w:val="007B3F36"/>
    <w:rsid w:val="007C392F"/>
    <w:rsid w:val="007C552F"/>
    <w:rsid w:val="007F70A6"/>
    <w:rsid w:val="00801BF2"/>
    <w:rsid w:val="0080539B"/>
    <w:rsid w:val="00810CF3"/>
    <w:rsid w:val="00811B86"/>
    <w:rsid w:val="0081333F"/>
    <w:rsid w:val="00817DB4"/>
    <w:rsid w:val="00817DD5"/>
    <w:rsid w:val="00840CF7"/>
    <w:rsid w:val="0086192E"/>
    <w:rsid w:val="00861980"/>
    <w:rsid w:val="00876089"/>
    <w:rsid w:val="008A5C9F"/>
    <w:rsid w:val="008A7F1D"/>
    <w:rsid w:val="008C21E7"/>
    <w:rsid w:val="008C2FBF"/>
    <w:rsid w:val="008C3F16"/>
    <w:rsid w:val="008D3809"/>
    <w:rsid w:val="008D4662"/>
    <w:rsid w:val="008E51F2"/>
    <w:rsid w:val="008E7484"/>
    <w:rsid w:val="008F30DF"/>
    <w:rsid w:val="009014B6"/>
    <w:rsid w:val="0091097D"/>
    <w:rsid w:val="00915D9D"/>
    <w:rsid w:val="009168B2"/>
    <w:rsid w:val="00920119"/>
    <w:rsid w:val="00931BAD"/>
    <w:rsid w:val="00935687"/>
    <w:rsid w:val="00937B38"/>
    <w:rsid w:val="00944B44"/>
    <w:rsid w:val="009533A9"/>
    <w:rsid w:val="009A6136"/>
    <w:rsid w:val="009B354D"/>
    <w:rsid w:val="009C2356"/>
    <w:rsid w:val="009C64A1"/>
    <w:rsid w:val="009C7AFC"/>
    <w:rsid w:val="009D1EDB"/>
    <w:rsid w:val="009D6645"/>
    <w:rsid w:val="009E0257"/>
    <w:rsid w:val="009E63D7"/>
    <w:rsid w:val="009E7D34"/>
    <w:rsid w:val="009F0408"/>
    <w:rsid w:val="009F7AA2"/>
    <w:rsid w:val="00A008FD"/>
    <w:rsid w:val="00A044D5"/>
    <w:rsid w:val="00A113A9"/>
    <w:rsid w:val="00A1634E"/>
    <w:rsid w:val="00A17074"/>
    <w:rsid w:val="00A3577E"/>
    <w:rsid w:val="00A40022"/>
    <w:rsid w:val="00A400B6"/>
    <w:rsid w:val="00A47BB0"/>
    <w:rsid w:val="00A5039D"/>
    <w:rsid w:val="00A72289"/>
    <w:rsid w:val="00AB30F3"/>
    <w:rsid w:val="00AC1FED"/>
    <w:rsid w:val="00AE2E12"/>
    <w:rsid w:val="00AF6008"/>
    <w:rsid w:val="00AF7695"/>
    <w:rsid w:val="00B01A05"/>
    <w:rsid w:val="00B0529A"/>
    <w:rsid w:val="00B119C7"/>
    <w:rsid w:val="00B139D5"/>
    <w:rsid w:val="00B16F40"/>
    <w:rsid w:val="00B31958"/>
    <w:rsid w:val="00B36598"/>
    <w:rsid w:val="00B366E3"/>
    <w:rsid w:val="00B40948"/>
    <w:rsid w:val="00B50C12"/>
    <w:rsid w:val="00B51291"/>
    <w:rsid w:val="00B535EE"/>
    <w:rsid w:val="00B5437C"/>
    <w:rsid w:val="00B622FB"/>
    <w:rsid w:val="00B62EA0"/>
    <w:rsid w:val="00B753BF"/>
    <w:rsid w:val="00B90509"/>
    <w:rsid w:val="00B936F0"/>
    <w:rsid w:val="00B97F63"/>
    <w:rsid w:val="00BB0C36"/>
    <w:rsid w:val="00BB229D"/>
    <w:rsid w:val="00BB2E21"/>
    <w:rsid w:val="00BC404B"/>
    <w:rsid w:val="00BC45E1"/>
    <w:rsid w:val="00BC65A8"/>
    <w:rsid w:val="00BD77AD"/>
    <w:rsid w:val="00BE163D"/>
    <w:rsid w:val="00BE4545"/>
    <w:rsid w:val="00BF3DE2"/>
    <w:rsid w:val="00BF4668"/>
    <w:rsid w:val="00BF7662"/>
    <w:rsid w:val="00C024AE"/>
    <w:rsid w:val="00C04131"/>
    <w:rsid w:val="00C12CF8"/>
    <w:rsid w:val="00C17259"/>
    <w:rsid w:val="00C2642F"/>
    <w:rsid w:val="00C3097C"/>
    <w:rsid w:val="00C45C77"/>
    <w:rsid w:val="00C51350"/>
    <w:rsid w:val="00C61536"/>
    <w:rsid w:val="00C65A3A"/>
    <w:rsid w:val="00C71536"/>
    <w:rsid w:val="00C739B9"/>
    <w:rsid w:val="00C74202"/>
    <w:rsid w:val="00C755FD"/>
    <w:rsid w:val="00C75A25"/>
    <w:rsid w:val="00C77741"/>
    <w:rsid w:val="00C80620"/>
    <w:rsid w:val="00C81539"/>
    <w:rsid w:val="00C85885"/>
    <w:rsid w:val="00CA64DD"/>
    <w:rsid w:val="00CA6D0B"/>
    <w:rsid w:val="00CA7E3F"/>
    <w:rsid w:val="00CE6E7E"/>
    <w:rsid w:val="00CF53DC"/>
    <w:rsid w:val="00D20D28"/>
    <w:rsid w:val="00D404D2"/>
    <w:rsid w:val="00D5017B"/>
    <w:rsid w:val="00D82800"/>
    <w:rsid w:val="00DB74D0"/>
    <w:rsid w:val="00DC1026"/>
    <w:rsid w:val="00DE6C8B"/>
    <w:rsid w:val="00DF00E4"/>
    <w:rsid w:val="00DF2717"/>
    <w:rsid w:val="00DF38D0"/>
    <w:rsid w:val="00DF5617"/>
    <w:rsid w:val="00E03853"/>
    <w:rsid w:val="00E10201"/>
    <w:rsid w:val="00E26AB8"/>
    <w:rsid w:val="00E75D3C"/>
    <w:rsid w:val="00E92AE7"/>
    <w:rsid w:val="00EB3A97"/>
    <w:rsid w:val="00EB6A86"/>
    <w:rsid w:val="00EC210E"/>
    <w:rsid w:val="00ED74C1"/>
    <w:rsid w:val="00EF3282"/>
    <w:rsid w:val="00F030B9"/>
    <w:rsid w:val="00F071FB"/>
    <w:rsid w:val="00F157D7"/>
    <w:rsid w:val="00F17080"/>
    <w:rsid w:val="00F21ABE"/>
    <w:rsid w:val="00F36F1D"/>
    <w:rsid w:val="00F54105"/>
    <w:rsid w:val="00F745D8"/>
    <w:rsid w:val="00F82797"/>
    <w:rsid w:val="00F918B4"/>
    <w:rsid w:val="00FB170C"/>
    <w:rsid w:val="00FB42FA"/>
    <w:rsid w:val="00FB7A35"/>
    <w:rsid w:val="00FC44EC"/>
    <w:rsid w:val="00FC6509"/>
    <w:rsid w:val="00FC6B28"/>
    <w:rsid w:val="00FD3860"/>
    <w:rsid w:val="00FE1D46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086CA"/>
  <w14:defaultImageDpi w14:val="32767"/>
  <w15:docId w15:val="{67DB8B43-EC5F-1A4B-A6DE-F9341DE2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9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713&amp;utm_language=ES&amp;utm_source=integrated-content&amp;utm_campaign=https://es.smartsheet.com/content/merger-acquisition-project-management&amp;utm_medium=ic+Synergy+and+Culture+Mapping+doc+27713+es&amp;lpa=ic+Synergy+and+Culture+Mapping+doc+27713+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A600BC5-A47B-4041-8B7E-25776F69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Heather Key</cp:lastModifiedBy>
  <cp:revision>5</cp:revision>
  <cp:lastPrinted>2016-11-18T18:21:00Z</cp:lastPrinted>
  <dcterms:created xsi:type="dcterms:W3CDTF">2023-05-04T19:58:00Z</dcterms:created>
  <dcterms:modified xsi:type="dcterms:W3CDTF">2023-08-15T23:26:00Z</dcterms:modified>
</cp:coreProperties>
</file>