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49883B57" w:rsidR="00BE59D0" w:rsidRDefault="00E9209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E9209F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F57E84D" wp14:editId="199C3FE1">
            <wp:simplePos x="0" y="0"/>
            <wp:positionH relativeFrom="column">
              <wp:posOffset>6462346</wp:posOffset>
            </wp:positionH>
            <wp:positionV relativeFrom="paragraph">
              <wp:posOffset>49</wp:posOffset>
            </wp:positionV>
            <wp:extent cx="2627605" cy="520700"/>
            <wp:effectExtent l="0" t="0" r="1905" b="0"/>
            <wp:wrapThrough wrapText="bothSides">
              <wp:wrapPolygon edited="0">
                <wp:start x="0" y="0"/>
                <wp:lineTo x="0" y="20546"/>
                <wp:lineTo x="21459" y="20546"/>
                <wp:lineTo x="21459" y="0"/>
                <wp:lineTo x="0" y="0"/>
              </wp:wrapPolygon>
            </wp:wrapThrough>
            <wp:docPr id="163010829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08291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SIMPLE DE LIENZO DEL MODELO </w:t>
      </w:r>
      <w:r w:rsidR="00B560B5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NEGOCIOS</w:t>
      </w:r>
    </w:p>
    <w:p w14:paraId="29BEC45B" w14:textId="45BB5BF2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Siga las instrucciones que se mencionan abajo para completar cada sección del lienzo del modelo de negocios, de modo que pueda desarrollar una comprensión integral del marco operativo y estratégico de su negocio.</w:t>
      </w:r>
    </w:p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2938"/>
        <w:gridCol w:w="2878"/>
        <w:gridCol w:w="9"/>
        <w:gridCol w:w="2869"/>
        <w:gridCol w:w="2878"/>
        <w:gridCol w:w="2878"/>
        <w:gridCol w:w="9"/>
      </w:tblGrid>
      <w:tr w:rsidR="00BE59D0" w:rsidRPr="00366544" w14:paraId="2031737D" w14:textId="77777777" w:rsidTr="00F66D02">
        <w:trPr>
          <w:gridAfter w:val="1"/>
          <w:wAfter w:w="9" w:type="dxa"/>
          <w:trHeight w:val="3320"/>
        </w:trPr>
        <w:tc>
          <w:tcPr>
            <w:tcW w:w="293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9810640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 w:rsidRPr="00F66D02">
              <w:rPr>
                <w:noProof/>
                <w:spacing w:val="-4"/>
              </w:rPr>
              <w:drawing>
                <wp:anchor distT="0" distB="0" distL="114300" distR="114300" simplePos="0" relativeHeight="251662336" behindDoc="1" locked="0" layoutInCell="1" allowOverlap="1" wp14:anchorId="59B12C5C" wp14:editId="24D1CA19">
                  <wp:simplePos x="0" y="0"/>
                  <wp:positionH relativeFrom="column">
                    <wp:posOffset>1436522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D02">
              <w:rPr>
                <w:rFonts w:ascii="Century Gothic" w:hAnsi="Century Gothic"/>
                <w:spacing w:val="-4"/>
                <w:sz w:val="28"/>
              </w:rPr>
              <w:t xml:space="preserve">ASOCIACIONES 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</w:rPr>
              <w:t>CLAVE</w:t>
            </w:r>
          </w:p>
          <w:p w14:paraId="2722DAD5" w14:textId="407DB03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31E5C2" w14:textId="4B964D5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82F26" w14:textId="3F296954" w:rsidR="00BE59D0" w:rsidRPr="00366544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sus principales socios, proveedores y alianzas que lo ayuden a operar y alcanzar sus objetivos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64B34252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ACTIVIDADES CLAVE</w:t>
            </w:r>
          </w:p>
          <w:p w14:paraId="3E00B052" w14:textId="3A2D590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791055" w14:textId="0246D9E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745EDA" w14:textId="3B46EEEA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Describa las tareas operativas críticas, los servicios o las actividades de producción esenciales para su modelo de negocios.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PROPUESTA DE VALOR</w:t>
            </w:r>
          </w:p>
          <w:p w14:paraId="3F759CD3" w14:textId="7597832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E17E8" w14:textId="1EBD469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7DD2D" w14:textId="32AB875A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Describa los beneficios y soluciones únicos que su negocio ofrece a sus clientes para resolver sus problemas o satisfacer sus necesidades.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RELACIONES CON LOS CLIENTES</w:t>
            </w:r>
          </w:p>
          <w:p w14:paraId="4ABBBFFF" w14:textId="68A1D7F6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7593" w14:textId="1AEE6BF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85D5F" w14:textId="5759E264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Detalle cómo interactúa con los clientes a través de la asistencia personal, los servicios automatizados o la participación de la comunidad.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SEGMENTOS DE CLIENTES</w:t>
            </w:r>
          </w:p>
          <w:p w14:paraId="591292A9" w14:textId="0A987D0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9139A2" w14:textId="091B19D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5CC655" w14:textId="5334989B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Segmente a sus clientes </w:t>
            </w:r>
            <w:r w:rsidR="00413B4E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>en función de sus necesidades, comportamientos y otros rasgos que afectan la forma en que valoran sus productos o servicios.</w:t>
            </w:r>
          </w:p>
        </w:tc>
      </w:tr>
      <w:tr w:rsidR="00BE59D0" w:rsidRPr="00366544" w14:paraId="6C161CBE" w14:textId="77777777" w:rsidTr="00F66D02">
        <w:trPr>
          <w:gridAfter w:val="1"/>
          <w:wAfter w:w="9" w:type="dxa"/>
          <w:trHeight w:val="2882"/>
        </w:trPr>
        <w:tc>
          <w:tcPr>
            <w:tcW w:w="293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78833270" w:rsidR="00BE59D0" w:rsidRPr="000F5D1C" w:rsidRDefault="00BE59D0" w:rsidP="00BE59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RECURSOS CLAVE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EC848F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6320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DAD6DD" w14:textId="7C7D945F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Especifique los recursos físicos, intelectuales, humanos y financieros de los que depende su modelo de negocios.</w:t>
            </w:r>
          </w:p>
        </w:tc>
        <w:tc>
          <w:tcPr>
            <w:tcW w:w="2878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CANALES</w:t>
            </w:r>
          </w:p>
          <w:p w14:paraId="7DAC06A4" w14:textId="31A79E13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7AD2D" w14:textId="3623B518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B6AE5" w14:textId="3C57D98C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Identifique los canales a través de los cuales interactúa con los clientes y difunde su propuesta de valor, como sitios web, tiendas minoristas o ventas directas.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</w:tr>
      <w:tr w:rsidR="00BE59D0" w:rsidRPr="00366544" w14:paraId="2AF93736" w14:textId="77777777" w:rsidTr="00F66D02">
        <w:trPr>
          <w:trHeight w:val="2257"/>
        </w:trPr>
        <w:tc>
          <w:tcPr>
            <w:tcW w:w="58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ESTRUCTURA DE COSTOS</w:t>
            </w:r>
          </w:p>
          <w:p w14:paraId="346F5BE4" w14:textId="497E6F6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50A4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908F6" w14:textId="1FFCEBA1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Mencione todos los costos principales que implique la operación de su negocio; haga una distinción entre costos fijos y variables.</w:t>
            </w:r>
          </w:p>
        </w:tc>
        <w:tc>
          <w:tcPr>
            <w:tcW w:w="863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FLUJOS DE INGRESOS </w:t>
            </w:r>
          </w:p>
          <w:p w14:paraId="23A7627D" w14:textId="78C9059B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CE8454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2C9FBE" w14:textId="0B970D3F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Especifique cómo obtiene ingresos a través de cada segmento de clientes y detalle los mecanismos de precios, los modelos de suscripción o las transacciones de ventas.</w:t>
            </w:r>
          </w:p>
        </w:tc>
      </w:tr>
    </w:tbl>
    <w:p w14:paraId="37E3A764" w14:textId="77777777" w:rsidR="00BE59D0" w:rsidRPr="00B560B5" w:rsidRDefault="00BE59D0" w:rsidP="00B560B5">
      <w:pPr>
        <w:spacing w:after="0"/>
        <w:rPr>
          <w:rFonts w:ascii="Century Gothic" w:hAnsi="Century Gothic"/>
          <w:color w:val="595959" w:themeColor="text1" w:themeTint="A6"/>
          <w:sz w:val="8"/>
          <w:szCs w:val="8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692C04" w:rsidRDefault="00C13F66" w:rsidP="007F37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7B4E135" w14:textId="77777777" w:rsidR="00C13F66" w:rsidRDefault="00C13F66" w:rsidP="007F3708">
            <w:pPr>
              <w:rPr>
                <w:rFonts w:ascii="Century Gothic" w:hAnsi="Century Gothic" w:cs="Arial"/>
                <w:szCs w:val="20"/>
              </w:rPr>
            </w:pPr>
          </w:p>
          <w:p w14:paraId="613088FE" w14:textId="77777777" w:rsidR="00C13F66" w:rsidRDefault="00C13F66" w:rsidP="007F37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69E1668" w14:textId="77777777" w:rsidR="00C13F66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19CE6681" w14:textId="77777777" w:rsidR="00C13F66" w:rsidRPr="00D3383E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5ADFD43C" w14:textId="77777777" w:rsidR="00C13F66" w:rsidRPr="00BE59D0" w:rsidRDefault="00C13F66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C13F66" w:rsidRPr="00BE59D0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24351C"/>
    <w:rsid w:val="003E1263"/>
    <w:rsid w:val="00413B4E"/>
    <w:rsid w:val="0061536B"/>
    <w:rsid w:val="006B2FD8"/>
    <w:rsid w:val="00A3681E"/>
    <w:rsid w:val="00A86090"/>
    <w:rsid w:val="00B560B5"/>
    <w:rsid w:val="00BE59D0"/>
    <w:rsid w:val="00C13F66"/>
    <w:rsid w:val="00DF27EB"/>
    <w:rsid w:val="00E9209F"/>
    <w:rsid w:val="00EF3F6E"/>
    <w:rsid w:val="00F4568B"/>
    <w:rsid w:val="00F6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hyperlink" Target="https://es.smartsheet.com/try-it?trp=28101" TargetMode="Externa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1980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10</cp:revision>
  <dcterms:created xsi:type="dcterms:W3CDTF">2024-03-01T15:32:00Z</dcterms:created>
  <dcterms:modified xsi:type="dcterms:W3CDTF">2024-09-20T02:06:00Z</dcterms:modified>
</cp:coreProperties>
</file>