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06507" w14:textId="0B6ADD64" w:rsidR="004C19DF" w:rsidRPr="00D043FC" w:rsidRDefault="004C19DF" w:rsidP="00C55EFE">
      <w:pPr>
        <w:rPr>
          <w:rFonts w:ascii="Century Gothic" w:hAnsi="Century Gothic" w:cs="Arial"/>
          <w:b/>
          <w:color w:val="595959" w:themeColor="text1" w:themeTint="A6"/>
          <w:sz w:val="44"/>
          <w:szCs w:val="44"/>
        </w:rPr>
      </w:pPr>
      <w:r w:rsidRPr="00D043FC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3657600" behindDoc="0" locked="0" layoutInCell="1" allowOverlap="1" wp14:anchorId="46C9502D" wp14:editId="2F8DE276">
            <wp:simplePos x="0" y="0"/>
            <wp:positionH relativeFrom="column">
              <wp:posOffset>5221224</wp:posOffset>
            </wp:positionH>
            <wp:positionV relativeFrom="paragraph">
              <wp:posOffset>27432</wp:posOffset>
            </wp:positionV>
            <wp:extent cx="2075646" cy="411321"/>
            <wp:effectExtent l="0" t="0" r="1270" b="8255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46" cy="411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EJEMPLO DE PLANTILLA DE LIENZO </w:t>
      </w:r>
      <w:r w:rsidR="00151C77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DE MODELO DE NEGOCIO ESTÁNDAR </w:t>
      </w:r>
      <w:r w:rsidRPr="00D043FC">
        <w:rPr>
          <w:rFonts w:ascii="Century Gothic" w:hAnsi="Century Gothic"/>
          <w:b/>
          <w:color w:val="595959" w:themeColor="text1" w:themeTint="A6"/>
          <w:sz w:val="44"/>
          <w:szCs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para Microsoft Word</w:t>
      </w:r>
    </w:p>
    <w:p w14:paraId="22431141" w14:textId="77777777" w:rsidR="00D043FC" w:rsidRDefault="00D043FC" w:rsidP="00C55EFE">
      <w:pPr>
        <w:rPr>
          <w:rFonts w:ascii="Century Gothic" w:hAnsi="Century Gothic" w:cs="Arial"/>
          <w:b/>
          <w:color w:val="595959" w:themeColor="text1" w:themeTint="A6"/>
          <w:sz w:val="16"/>
          <w:szCs w:val="16"/>
        </w:rPr>
      </w:pPr>
    </w:p>
    <w:p w14:paraId="61497D7B" w14:textId="5EEA8056" w:rsidR="00D043FC" w:rsidRPr="00D043FC" w:rsidRDefault="00D043FC" w:rsidP="00D043FC">
      <w:pPr>
        <w:jc w:val="both"/>
        <w:rPr>
          <w:rFonts w:ascii="Century Gothic" w:hAnsi="Century Gothic" w:cs="Arial"/>
          <w:bCs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Las secciones siguientes le ayudan a planear todos los componentes clave de su modelo de negocio, para que pueda ofrecer una visión holística de cómo su negocio opera y crea y ofrece valor.</w:t>
      </w:r>
    </w:p>
    <w:p w14:paraId="21820BF9" w14:textId="77777777" w:rsidR="004C19DF" w:rsidRPr="004C19DF" w:rsidRDefault="004C19DF" w:rsidP="00C55EFE">
      <w:pPr>
        <w:rPr>
          <w:rFonts w:ascii="Century Gothic" w:hAnsi="Century Gothic" w:cs="Arial"/>
          <w:b/>
          <w:color w:val="808080" w:themeColor="background1" w:themeShade="80"/>
        </w:rPr>
      </w:pPr>
    </w:p>
    <w:tbl>
      <w:tblPr>
        <w:tblW w:w="11425" w:type="dxa"/>
        <w:tblBorders>
          <w:top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"/>
        <w:gridCol w:w="11375"/>
        <w:gridCol w:w="25"/>
      </w:tblGrid>
      <w:tr w:rsidR="004701B8" w:rsidRPr="008942B0" w14:paraId="6E56AF9D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7C629E0F" w14:textId="1BEDDEC0" w:rsidR="004701B8" w:rsidRPr="004701B8" w:rsidRDefault="004701B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ASOCIACIONES CLAVE</w:t>
            </w:r>
          </w:p>
        </w:tc>
      </w:tr>
      <w:tr w:rsidR="008942B0" w:rsidRPr="008942B0" w14:paraId="3B03EBFC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523322E" w14:textId="7AEB79CA" w:rsidR="00D043FC" w:rsidRPr="004701B8" w:rsidRDefault="00381E22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Las asociaciones clave incluyen colaboración con los gobiernos locales para la colocación de estaciones, asociaciones con proveedores de energía renovable y alianzas con fabricantes de vehículos eléctricos.</w:t>
            </w:r>
          </w:p>
        </w:tc>
      </w:tr>
      <w:tr w:rsidR="004701B8" w:rsidRPr="008942B0" w14:paraId="6F5E0270" w14:textId="77777777" w:rsidTr="004701B8">
        <w:trPr>
          <w:gridAfter w:val="1"/>
          <w:wAfter w:w="25" w:type="dxa"/>
          <w:trHeight w:val="188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794522" w14:textId="77777777" w:rsidR="004701B8" w:rsidRPr="004701B8" w:rsidRDefault="004701B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57F4A8CF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20F81D4" w14:textId="4EC26A89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ACTIVIDADES CLAVE</w:t>
            </w:r>
          </w:p>
        </w:tc>
      </w:tr>
      <w:tr w:rsidR="004701B8" w:rsidRPr="008942B0" w14:paraId="42967AB3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56EB88" w14:textId="14496081" w:rsidR="004701B8" w:rsidRPr="004701B8" w:rsidRDefault="00381E22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Las actividades clave incluyen operación y mantenimiento de estaciones de carga de vehículos eléctricos, gestión de atención al cliente y actualizaciones tecnológicas continuas para un servicio eficiente.</w:t>
            </w:r>
          </w:p>
        </w:tc>
      </w:tr>
      <w:tr w:rsidR="004701B8" w:rsidRPr="004701B8" w14:paraId="613A40AD" w14:textId="77777777" w:rsidTr="004701B8">
        <w:trPr>
          <w:gridAfter w:val="1"/>
          <w:wAfter w:w="25" w:type="dxa"/>
          <w:trHeight w:val="107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D5388" w14:textId="6640068C" w:rsidR="004701B8" w:rsidRPr="004701B8" w:rsidRDefault="004701B8" w:rsidP="005C7016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3BAF3F2B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145FD65C" w14:textId="01C0A9C7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RECURSOS CLAVE</w:t>
            </w:r>
          </w:p>
        </w:tc>
      </w:tr>
      <w:tr w:rsidR="004701B8" w:rsidRPr="008942B0" w14:paraId="750C9177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29075F" w14:textId="7C30DDED" w:rsidR="004701B8" w:rsidRPr="004701B8" w:rsidRDefault="00381E22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Los recursos clave incluyen nuestra red de estaciones de carga, tecnología de carga patentada, equipo técnico calificado e infraestructura de soporte al cliente.</w:t>
            </w:r>
          </w:p>
        </w:tc>
      </w:tr>
      <w:tr w:rsidR="004701B8" w:rsidRPr="008942B0" w14:paraId="18D98731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98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7F6F32" w14:textId="77777777" w:rsidR="004701B8" w:rsidRPr="004701B8" w:rsidRDefault="004701B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45C102F1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EF630F4" w14:textId="44A9E7F4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PROPUESTAS DE VALOR</w:t>
            </w:r>
          </w:p>
        </w:tc>
      </w:tr>
      <w:tr w:rsidR="004701B8" w:rsidRPr="008942B0" w14:paraId="777C072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B4FDDE" w14:textId="64D4397C" w:rsidR="004701B8" w:rsidRPr="004701B8" w:rsidRDefault="00381E22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Ofrecemos soluciones de carga rápidas, fiables y respetuosas con el medio ambiente a los propietarios de vehículos eléctricos, mediante un servicio de atención al cliente superior y tecnología avanzada.</w:t>
            </w:r>
          </w:p>
        </w:tc>
      </w:tr>
      <w:tr w:rsidR="004701B8" w:rsidRPr="008942B0" w14:paraId="08DA149B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7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299230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4399040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2DEBA155" w14:textId="7BA8A79D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RELACIONES CON LOS CLIENTES</w:t>
            </w:r>
          </w:p>
        </w:tc>
      </w:tr>
      <w:tr w:rsidR="004701B8" w:rsidRPr="008942B0" w14:paraId="0C4E880D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E70F9C" w14:textId="07A4482E" w:rsidR="004701B8" w:rsidRPr="004701B8" w:rsidRDefault="00381E22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Construimos relaciones leales con los clientes a través de un servicio confiable, programas de fidelización de los clientes y soporte receptivo.</w:t>
            </w:r>
          </w:p>
        </w:tc>
      </w:tr>
      <w:tr w:rsidR="004701B8" w:rsidRPr="008942B0" w14:paraId="30E9F535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152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248408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0CDEF498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BC5C338" w14:textId="0CFE7284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CANALES</w:t>
            </w:r>
          </w:p>
        </w:tc>
      </w:tr>
      <w:tr w:rsidR="004701B8" w:rsidRPr="008942B0" w14:paraId="413151C7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AAE66" w14:textId="442C352A" w:rsidR="004701B8" w:rsidRPr="004701B8" w:rsidRDefault="00381E22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Ofrecemos accesibilidad al servicio a través de una aplicación para dispositivos móviles, reservas y pagos mediante plataformas en línea, y estaciones de carga ubicadas estratégicamente.</w:t>
            </w:r>
          </w:p>
        </w:tc>
      </w:tr>
      <w:tr w:rsidR="004701B8" w:rsidRPr="008942B0" w14:paraId="77FDDC1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31AE70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316D1028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25FE8CD2" w14:textId="74D125FE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lastRenderedPageBreak/>
              <w:t>SEGMENTOS DE CLIENTES</w:t>
            </w:r>
          </w:p>
        </w:tc>
      </w:tr>
      <w:tr w:rsidR="004701B8" w:rsidRPr="008942B0" w14:paraId="71041CC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EE1E10" w14:textId="110BD7E3" w:rsidR="004701B8" w:rsidRPr="004701B8" w:rsidRDefault="00063C0D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Apuntamos a propietarios individuales de vehículos eléctricos, flotas comerciales y vehículos gubernamentales que requieren servicios de carga regulares.</w:t>
            </w:r>
          </w:p>
        </w:tc>
      </w:tr>
      <w:tr w:rsidR="004701B8" w:rsidRPr="008942B0" w14:paraId="4EC06352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6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A57684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7BA7D71C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6A178E7" w14:textId="5D77F0FF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ESTRUCTURA DE COSTOS</w:t>
            </w:r>
          </w:p>
        </w:tc>
      </w:tr>
      <w:tr w:rsidR="004701B8" w:rsidRPr="008942B0" w14:paraId="202477F0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0698E6" w14:textId="3C148D43" w:rsidR="004701B8" w:rsidRPr="004701B8" w:rsidRDefault="00063C0D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Los costos incluyen inversiones en infraestructura de estaciones de carga, desarrollo de tecnología, personal y gastos de marketing.</w:t>
            </w:r>
          </w:p>
        </w:tc>
      </w:tr>
      <w:tr w:rsidR="004701B8" w:rsidRPr="008942B0" w14:paraId="4EAC016E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17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631F14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59EC193E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31D52B55" w14:textId="0F955351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FLUJOS DE INGRESOS</w:t>
            </w:r>
          </w:p>
        </w:tc>
      </w:tr>
      <w:tr w:rsidR="004701B8" w:rsidRPr="008942B0" w14:paraId="7C04D353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389DA7" w14:textId="7D610ADE" w:rsidR="004701B8" w:rsidRPr="004701B8" w:rsidRDefault="00063C0D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Los flujos de ingresos por servicios de carga, planes de suscripción para usuarios frecuentes y asociaciones para instalaciones de estaciones.</w:t>
            </w:r>
          </w:p>
        </w:tc>
      </w:tr>
    </w:tbl>
    <w:p w14:paraId="15C73131" w14:textId="15B6D6DB" w:rsidR="00D043FC" w:rsidRPr="008942B0" w:rsidRDefault="00D043FC">
      <w:pPr>
        <w:rPr>
          <w:rFonts w:ascii="Century Gothic" w:hAnsi="Century Gothic" w:cs="Arial"/>
          <w:bCs/>
          <w:color w:val="595959" w:themeColor="text1" w:themeTint="A6"/>
        </w:rPr>
      </w:pPr>
      <w:r w:rsidRPr="008942B0">
        <w:rPr>
          <w:rFonts w:ascii="Century Gothic" w:hAnsi="Century Gothic"/>
          <w:bCs/>
          <w:color w:val="595959" w:themeColor="text1" w:themeTint="A6"/>
        </w:rPr>
        <w:br w:type="page"/>
      </w:r>
    </w:p>
    <w:p w14:paraId="54E8D471" w14:textId="77777777" w:rsidR="00D043FC" w:rsidRDefault="00D043FC" w:rsidP="004C19DF"/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4C19DF" w14:paraId="4F46793F" w14:textId="77777777" w:rsidTr="007F1ED8">
        <w:trPr>
          <w:trHeight w:val="2687"/>
        </w:trPr>
        <w:tc>
          <w:tcPr>
            <w:tcW w:w="10669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69E7C1CE" w14:textId="77777777" w:rsidR="004C19DF" w:rsidRPr="00EC5483" w:rsidRDefault="004C19DF" w:rsidP="007F1ED8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/>
                <w:b/>
              </w:rPr>
              <w:t>DESCARGO DE RESPONSABILIDAD</w:t>
            </w:r>
          </w:p>
          <w:p w14:paraId="7B02EE06" w14:textId="77777777" w:rsidR="004C19DF" w:rsidRPr="00EC5483" w:rsidRDefault="004C19DF" w:rsidP="007F1ED8">
            <w:pPr>
              <w:rPr>
                <w:rFonts w:ascii="Century Gothic" w:hAnsi="Century Gothic" w:cs="Arial"/>
                <w:szCs w:val="20"/>
              </w:rPr>
            </w:pPr>
          </w:p>
          <w:p w14:paraId="3A72557D" w14:textId="77777777" w:rsidR="004C19DF" w:rsidRDefault="004C19DF" w:rsidP="007F1ED8">
            <w:pPr>
              <w:rPr>
                <w:rFonts w:cs="Arial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5DA641BF" w14:textId="77777777" w:rsidR="004C19DF" w:rsidRDefault="004C19DF" w:rsidP="004C19DF">
      <w:pPr>
        <w:rPr>
          <w:rFonts w:ascii="Century Gothic" w:hAnsi="Century Gothic" w:cs="Arial"/>
          <w:sz w:val="20"/>
          <w:szCs w:val="20"/>
        </w:rPr>
      </w:pPr>
    </w:p>
    <w:p w14:paraId="4E3530C0" w14:textId="77777777" w:rsidR="004C19DF" w:rsidRDefault="004C19DF" w:rsidP="004C19DF">
      <w:pPr>
        <w:rPr>
          <w:rFonts w:cs="Arial"/>
          <w:szCs w:val="20"/>
        </w:rPr>
      </w:pPr>
    </w:p>
    <w:p w14:paraId="699C12F5" w14:textId="77777777" w:rsidR="004C19DF" w:rsidRDefault="004C19DF" w:rsidP="004C19DF">
      <w:pPr>
        <w:rPr>
          <w:szCs w:val="20"/>
        </w:rPr>
      </w:pPr>
    </w:p>
    <w:p w14:paraId="23903FB6" w14:textId="77777777" w:rsidR="004C19DF" w:rsidRPr="00A10C17" w:rsidRDefault="004C19DF" w:rsidP="004C19DF"/>
    <w:p w14:paraId="03B4F873" w14:textId="77777777" w:rsidR="001534AE" w:rsidRDefault="001534AE" w:rsidP="004C19DF">
      <w:pPr>
        <w:tabs>
          <w:tab w:val="left" w:pos="3718"/>
        </w:tabs>
      </w:pPr>
    </w:p>
    <w:sectPr w:rsidR="001534AE" w:rsidSect="00874B3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C6F5B" w14:textId="77777777" w:rsidR="00DC0195" w:rsidRDefault="00DC0195" w:rsidP="004C6C01">
      <w:r>
        <w:separator/>
      </w:r>
    </w:p>
  </w:endnote>
  <w:endnote w:type="continuationSeparator" w:id="0">
    <w:p w14:paraId="2661E0B3" w14:textId="77777777" w:rsidR="00DC0195" w:rsidRDefault="00DC0195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22D86" w14:textId="77777777" w:rsidR="00DC0195" w:rsidRDefault="00DC0195" w:rsidP="004C6C01">
      <w:r>
        <w:separator/>
      </w:r>
    </w:p>
  </w:footnote>
  <w:footnote w:type="continuationSeparator" w:id="0">
    <w:p w14:paraId="19EE427B" w14:textId="77777777" w:rsidR="00DC0195" w:rsidRDefault="00DC0195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21CC4"/>
    <w:multiLevelType w:val="hybridMultilevel"/>
    <w:tmpl w:val="6826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19F"/>
    <w:multiLevelType w:val="hybridMultilevel"/>
    <w:tmpl w:val="B808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5A9C"/>
    <w:multiLevelType w:val="hybridMultilevel"/>
    <w:tmpl w:val="D2C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F8E"/>
    <w:multiLevelType w:val="hybridMultilevel"/>
    <w:tmpl w:val="A04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E1E76"/>
    <w:multiLevelType w:val="hybridMultilevel"/>
    <w:tmpl w:val="6862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D51"/>
    <w:multiLevelType w:val="hybridMultilevel"/>
    <w:tmpl w:val="B9DCBF12"/>
    <w:lvl w:ilvl="0" w:tplc="8C9A666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84994"/>
    <w:multiLevelType w:val="hybridMultilevel"/>
    <w:tmpl w:val="EAC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31D2F"/>
    <w:multiLevelType w:val="hybridMultilevel"/>
    <w:tmpl w:val="C6E866B0"/>
    <w:lvl w:ilvl="0" w:tplc="40CC3CE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A414C"/>
    <w:multiLevelType w:val="hybridMultilevel"/>
    <w:tmpl w:val="8A70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933224">
    <w:abstractNumId w:val="6"/>
  </w:num>
  <w:num w:numId="2" w16cid:durableId="839584812">
    <w:abstractNumId w:val="8"/>
  </w:num>
  <w:num w:numId="3" w16cid:durableId="305084466">
    <w:abstractNumId w:val="2"/>
  </w:num>
  <w:num w:numId="4" w16cid:durableId="1213881445">
    <w:abstractNumId w:val="5"/>
  </w:num>
  <w:num w:numId="5" w16cid:durableId="619647340">
    <w:abstractNumId w:val="3"/>
  </w:num>
  <w:num w:numId="6" w16cid:durableId="1175345553">
    <w:abstractNumId w:val="0"/>
  </w:num>
  <w:num w:numId="7" w16cid:durableId="604382273">
    <w:abstractNumId w:val="7"/>
  </w:num>
  <w:num w:numId="8" w16cid:durableId="1711804432">
    <w:abstractNumId w:val="1"/>
  </w:num>
  <w:num w:numId="9" w16cid:durableId="1605918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DF"/>
    <w:rsid w:val="000158A3"/>
    <w:rsid w:val="00017D11"/>
    <w:rsid w:val="0004588C"/>
    <w:rsid w:val="00046F5A"/>
    <w:rsid w:val="00063C0D"/>
    <w:rsid w:val="00080417"/>
    <w:rsid w:val="000946FB"/>
    <w:rsid w:val="000D3136"/>
    <w:rsid w:val="000D3BE6"/>
    <w:rsid w:val="000D3E08"/>
    <w:rsid w:val="000D5651"/>
    <w:rsid w:val="000E4456"/>
    <w:rsid w:val="00113C3F"/>
    <w:rsid w:val="001151A7"/>
    <w:rsid w:val="00125593"/>
    <w:rsid w:val="001430C2"/>
    <w:rsid w:val="00151C77"/>
    <w:rsid w:val="00152249"/>
    <w:rsid w:val="001534AE"/>
    <w:rsid w:val="0016438F"/>
    <w:rsid w:val="00182D40"/>
    <w:rsid w:val="00184DC2"/>
    <w:rsid w:val="00190874"/>
    <w:rsid w:val="00197AA4"/>
    <w:rsid w:val="001C29A2"/>
    <w:rsid w:val="001D215A"/>
    <w:rsid w:val="001D3084"/>
    <w:rsid w:val="001D5095"/>
    <w:rsid w:val="00220080"/>
    <w:rsid w:val="00225FFA"/>
    <w:rsid w:val="0023244F"/>
    <w:rsid w:val="00245FB4"/>
    <w:rsid w:val="00246B96"/>
    <w:rsid w:val="00251A30"/>
    <w:rsid w:val="00263E5E"/>
    <w:rsid w:val="00265A6D"/>
    <w:rsid w:val="00284A82"/>
    <w:rsid w:val="00295890"/>
    <w:rsid w:val="002966C3"/>
    <w:rsid w:val="002971F3"/>
    <w:rsid w:val="002A5743"/>
    <w:rsid w:val="002B5D9A"/>
    <w:rsid w:val="002C0A4B"/>
    <w:rsid w:val="002D17E5"/>
    <w:rsid w:val="002F35B4"/>
    <w:rsid w:val="002F54BD"/>
    <w:rsid w:val="003005E0"/>
    <w:rsid w:val="00300D0E"/>
    <w:rsid w:val="003015B8"/>
    <w:rsid w:val="003028F2"/>
    <w:rsid w:val="0031104D"/>
    <w:rsid w:val="003169FF"/>
    <w:rsid w:val="003247C3"/>
    <w:rsid w:val="00343574"/>
    <w:rsid w:val="00345CC0"/>
    <w:rsid w:val="00355C1F"/>
    <w:rsid w:val="00381E22"/>
    <w:rsid w:val="0039551A"/>
    <w:rsid w:val="003A371B"/>
    <w:rsid w:val="003B5EDA"/>
    <w:rsid w:val="003B789B"/>
    <w:rsid w:val="003B7DEB"/>
    <w:rsid w:val="003C0A0A"/>
    <w:rsid w:val="003C0FDB"/>
    <w:rsid w:val="003C118B"/>
    <w:rsid w:val="003F50F4"/>
    <w:rsid w:val="00405E4D"/>
    <w:rsid w:val="00426070"/>
    <w:rsid w:val="0042723D"/>
    <w:rsid w:val="0043640D"/>
    <w:rsid w:val="00440B96"/>
    <w:rsid w:val="00461C19"/>
    <w:rsid w:val="00464224"/>
    <w:rsid w:val="004672DC"/>
    <w:rsid w:val="004701B8"/>
    <w:rsid w:val="00471C74"/>
    <w:rsid w:val="004937B7"/>
    <w:rsid w:val="004947DB"/>
    <w:rsid w:val="004C0914"/>
    <w:rsid w:val="004C19DF"/>
    <w:rsid w:val="004C6C01"/>
    <w:rsid w:val="004D28AF"/>
    <w:rsid w:val="004E2F8A"/>
    <w:rsid w:val="005039D1"/>
    <w:rsid w:val="0050653C"/>
    <w:rsid w:val="00513F89"/>
    <w:rsid w:val="005449AA"/>
    <w:rsid w:val="00567A01"/>
    <w:rsid w:val="00581117"/>
    <w:rsid w:val="00581B8D"/>
    <w:rsid w:val="005A6272"/>
    <w:rsid w:val="005C4192"/>
    <w:rsid w:val="005D3296"/>
    <w:rsid w:val="005E672C"/>
    <w:rsid w:val="005F4987"/>
    <w:rsid w:val="00605350"/>
    <w:rsid w:val="0061672E"/>
    <w:rsid w:val="00624110"/>
    <w:rsid w:val="00625AE7"/>
    <w:rsid w:val="00662FA3"/>
    <w:rsid w:val="00663036"/>
    <w:rsid w:val="006806AD"/>
    <w:rsid w:val="00682B09"/>
    <w:rsid w:val="006C4F93"/>
    <w:rsid w:val="006D26C3"/>
    <w:rsid w:val="006F6DA2"/>
    <w:rsid w:val="00710BDD"/>
    <w:rsid w:val="00712AA8"/>
    <w:rsid w:val="00745330"/>
    <w:rsid w:val="00751E49"/>
    <w:rsid w:val="007773C9"/>
    <w:rsid w:val="007811F2"/>
    <w:rsid w:val="007845EB"/>
    <w:rsid w:val="007B2CB6"/>
    <w:rsid w:val="007C0AB0"/>
    <w:rsid w:val="007C23AE"/>
    <w:rsid w:val="007D01DF"/>
    <w:rsid w:val="007D119F"/>
    <w:rsid w:val="007D747A"/>
    <w:rsid w:val="007E0F7B"/>
    <w:rsid w:val="00803022"/>
    <w:rsid w:val="00823204"/>
    <w:rsid w:val="008337C0"/>
    <w:rsid w:val="008471A8"/>
    <w:rsid w:val="00857E67"/>
    <w:rsid w:val="00871614"/>
    <w:rsid w:val="00874B33"/>
    <w:rsid w:val="008942B0"/>
    <w:rsid w:val="00897E3B"/>
    <w:rsid w:val="008A027A"/>
    <w:rsid w:val="008A2577"/>
    <w:rsid w:val="008F7C37"/>
    <w:rsid w:val="009153D4"/>
    <w:rsid w:val="00924670"/>
    <w:rsid w:val="0092663F"/>
    <w:rsid w:val="0094736A"/>
    <w:rsid w:val="00952FBA"/>
    <w:rsid w:val="00981DED"/>
    <w:rsid w:val="00982272"/>
    <w:rsid w:val="00984508"/>
    <w:rsid w:val="00996FF3"/>
    <w:rsid w:val="00997888"/>
    <w:rsid w:val="009B5957"/>
    <w:rsid w:val="009B6A69"/>
    <w:rsid w:val="009C61B0"/>
    <w:rsid w:val="009D044D"/>
    <w:rsid w:val="009E08D3"/>
    <w:rsid w:val="009E528D"/>
    <w:rsid w:val="009F1EAC"/>
    <w:rsid w:val="009F5852"/>
    <w:rsid w:val="00A00CC5"/>
    <w:rsid w:val="00A07AE1"/>
    <w:rsid w:val="00A145E9"/>
    <w:rsid w:val="00A146EA"/>
    <w:rsid w:val="00A22920"/>
    <w:rsid w:val="00A26FF5"/>
    <w:rsid w:val="00A33278"/>
    <w:rsid w:val="00A35915"/>
    <w:rsid w:val="00A45DFA"/>
    <w:rsid w:val="00A62963"/>
    <w:rsid w:val="00A63D16"/>
    <w:rsid w:val="00A95281"/>
    <w:rsid w:val="00A957A8"/>
    <w:rsid w:val="00AA354C"/>
    <w:rsid w:val="00AD669A"/>
    <w:rsid w:val="00AE4E21"/>
    <w:rsid w:val="00AE65BE"/>
    <w:rsid w:val="00B20BFE"/>
    <w:rsid w:val="00B30812"/>
    <w:rsid w:val="00B33B31"/>
    <w:rsid w:val="00B35CB3"/>
    <w:rsid w:val="00B41085"/>
    <w:rsid w:val="00B41441"/>
    <w:rsid w:val="00B47C77"/>
    <w:rsid w:val="00B60043"/>
    <w:rsid w:val="00B65434"/>
    <w:rsid w:val="00B71241"/>
    <w:rsid w:val="00B85A3B"/>
    <w:rsid w:val="00BC1C64"/>
    <w:rsid w:val="00BD050D"/>
    <w:rsid w:val="00BE5B0D"/>
    <w:rsid w:val="00BF5A50"/>
    <w:rsid w:val="00C132D0"/>
    <w:rsid w:val="00C45631"/>
    <w:rsid w:val="00C5249E"/>
    <w:rsid w:val="00C55EFE"/>
    <w:rsid w:val="00CC3289"/>
    <w:rsid w:val="00CE768F"/>
    <w:rsid w:val="00CF23D5"/>
    <w:rsid w:val="00D043FC"/>
    <w:rsid w:val="00D57248"/>
    <w:rsid w:val="00D73EEA"/>
    <w:rsid w:val="00D97508"/>
    <w:rsid w:val="00DA2E06"/>
    <w:rsid w:val="00DB03FB"/>
    <w:rsid w:val="00DC0195"/>
    <w:rsid w:val="00DE2996"/>
    <w:rsid w:val="00DF4D73"/>
    <w:rsid w:val="00E131A3"/>
    <w:rsid w:val="00E167E4"/>
    <w:rsid w:val="00E175FA"/>
    <w:rsid w:val="00E51764"/>
    <w:rsid w:val="00E94791"/>
    <w:rsid w:val="00EA753E"/>
    <w:rsid w:val="00EE56C3"/>
    <w:rsid w:val="00F03613"/>
    <w:rsid w:val="00F17AD3"/>
    <w:rsid w:val="00F2225C"/>
    <w:rsid w:val="00F569CF"/>
    <w:rsid w:val="00F67D5B"/>
    <w:rsid w:val="00F8671C"/>
    <w:rsid w:val="00F95B41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97C2E4"/>
  <w15:docId w15:val="{8FEBF69E-3405-48B0-A3D5-6BDCE38B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36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34AE"/>
    <w:rPr>
      <w:color w:val="954F72"/>
      <w:u w:val="single"/>
    </w:rPr>
  </w:style>
  <w:style w:type="paragraph" w:customStyle="1" w:styleId="msonormal0">
    <w:name w:val="msonormal"/>
    <w:basedOn w:val="Normal"/>
    <w:rsid w:val="001534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</w:rPr>
  </w:style>
  <w:style w:type="paragraph" w:customStyle="1" w:styleId="xl65">
    <w:name w:val="xl65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203764"/>
      <w:sz w:val="44"/>
      <w:szCs w:val="44"/>
    </w:rPr>
  </w:style>
  <w:style w:type="paragraph" w:customStyle="1" w:styleId="xl66">
    <w:name w:val="xl66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67">
    <w:name w:val="xl67"/>
    <w:basedOn w:val="Normal"/>
    <w:rsid w:val="001534AE"/>
    <w:pP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808080"/>
      <w:sz w:val="44"/>
      <w:szCs w:val="44"/>
    </w:rPr>
  </w:style>
  <w:style w:type="paragraph" w:customStyle="1" w:styleId="xl68">
    <w:name w:val="xl68"/>
    <w:basedOn w:val="Normal"/>
    <w:rsid w:val="001534AE"/>
    <w:pPr>
      <w:spacing w:before="100" w:beforeAutospacing="1" w:after="100" w:afterAutospacing="1"/>
      <w:ind w:firstLineChars="100" w:firstLine="100"/>
      <w:jc w:val="right"/>
    </w:pPr>
    <w:rPr>
      <w:rFonts w:ascii="Century Gothic" w:eastAsia="Times New Roman" w:hAnsi="Century Gothic" w:cs="Times New Roman"/>
      <w:b/>
      <w:bCs/>
      <w:sz w:val="22"/>
      <w:szCs w:val="22"/>
    </w:rPr>
  </w:style>
  <w:style w:type="paragraph" w:customStyle="1" w:styleId="xl69">
    <w:name w:val="xl69"/>
    <w:basedOn w:val="Normal"/>
    <w:rsid w:val="001534AE"/>
    <w:pPr>
      <w:pBdr>
        <w:top w:val="single" w:sz="4" w:space="0" w:color="BFBFBF"/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534AE"/>
    <w:pPr>
      <w:pBdr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3">
    <w:name w:val="xl73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5">
    <w:name w:val="xl75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7">
    <w:name w:val="xl77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8">
    <w:name w:val="xl78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9">
    <w:name w:val="xl79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1">
    <w:name w:val="xl81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2">
    <w:name w:val="xl82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81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esktop\Old%20smarts\ref1-IC-One-Page-Business-Plan-for-a-Service-Business-10787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ref1-IC-One-Page-Business-Plan-for-a-Service-Business-10787_WORD.dotx</Template>
  <TotalTime>13</TotalTime>
  <Pages>3</Pages>
  <Words>407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Dunlevy, Bess</dc:creator>
  <cp:lastModifiedBy>Mira Li</cp:lastModifiedBy>
  <cp:revision>6</cp:revision>
  <dcterms:created xsi:type="dcterms:W3CDTF">2024-02-28T05:16:00Z</dcterms:created>
  <dcterms:modified xsi:type="dcterms:W3CDTF">2024-12-15T09:53:00Z</dcterms:modified>
</cp:coreProperties>
</file>