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FBEA1" w14:textId="19833B75" w:rsidR="0022017E" w:rsidRDefault="003825A2" w:rsidP="008E24CD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73E8AD" wp14:editId="3C1910C0">
            <wp:simplePos x="0" y="0"/>
            <wp:positionH relativeFrom="column">
              <wp:posOffset>4360545</wp:posOffset>
            </wp:positionH>
            <wp:positionV relativeFrom="paragraph">
              <wp:posOffset>90805</wp:posOffset>
            </wp:positionV>
            <wp:extent cx="2441448" cy="484632"/>
            <wp:effectExtent l="0" t="0" r="0" b="0"/>
            <wp:wrapNone/>
            <wp:docPr id="1163524304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E91CE153-7A8E-1E8D-E7F8-A1234050B6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24304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E91CE153-7A8E-1E8D-E7F8-A1234050B6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F0">
        <w:rPr>
          <w:rFonts w:ascii="Century Gothic" w:hAnsi="Century Gothic"/>
          <w:b/>
          <w:color w:val="595959" w:themeColor="text1" w:themeTint="A6"/>
          <w:sz w:val="40"/>
        </w:rPr>
        <w:t xml:space="preserve">PLANTILLA DE EJEMPLO DE ESTUDIO </w:t>
      </w:r>
      <w:r w:rsidR="00902D36">
        <w:rPr>
          <w:rFonts w:ascii="Century Gothic" w:hAnsi="Century Gothic"/>
          <w:b/>
          <w:color w:val="595959" w:themeColor="text1" w:themeTint="A6"/>
          <w:sz w:val="40"/>
        </w:rPr>
        <w:br/>
      </w:r>
      <w:r w:rsidR="002160F0">
        <w:rPr>
          <w:rFonts w:ascii="Century Gothic" w:hAnsi="Century Gothic"/>
          <w:b/>
          <w:color w:val="595959" w:themeColor="text1" w:themeTint="A6"/>
          <w:sz w:val="40"/>
        </w:rPr>
        <w:t>DE CASO DE ANÁLISIS DETALLADO</w:t>
      </w:r>
    </w:p>
    <w:p w14:paraId="2DBC4C43" w14:textId="74A6F098" w:rsidR="0075548A" w:rsidRPr="0075548A" w:rsidRDefault="0075548A">
      <w:pPr>
        <w:rPr>
          <w:rFonts w:ascii="Century Gothic" w:hAnsi="Century Gothic"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t xml:space="preserve">Con este texto de muestra, se proporciona una estructura completa para presentar un análisis detallado del enfoque exitoso de Positive </w:t>
      </w:r>
      <w:proofErr w:type="spellStart"/>
      <w:r>
        <w:rPr>
          <w:rFonts w:ascii="Century Gothic" w:hAnsi="Century Gothic"/>
          <w:color w:val="000000"/>
          <w:sz w:val="24"/>
        </w:rPr>
        <w:t>Charge</w:t>
      </w:r>
      <w:proofErr w:type="spellEnd"/>
      <w:r>
        <w:rPr>
          <w:rFonts w:ascii="Century Gothic" w:hAnsi="Century Gothic"/>
          <w:color w:val="000000"/>
          <w:sz w:val="24"/>
        </w:rPr>
        <w:t xml:space="preserve"> para optimizar la infraestructura de carga de vehículos eléctricos (EV).</w:t>
      </w:r>
      <w:r w:rsidR="003825A2" w:rsidRPr="003825A2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80"/>
        <w:gridCol w:w="5380"/>
      </w:tblGrid>
      <w:tr w:rsidR="002D4865" w14:paraId="3C01581C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5D01D50" w14:textId="460143EF" w:rsidR="002D4865" w:rsidRPr="00B35B7E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RESUMEN EJECUTIVO</w:t>
            </w:r>
          </w:p>
        </w:tc>
      </w:tr>
      <w:tr w:rsidR="002D4865" w14:paraId="1D84FE07" w14:textId="77777777" w:rsidTr="00902D36">
        <w:trPr>
          <w:trHeight w:val="106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A745F9E" w14:textId="6974A72A" w:rsidR="002D4865" w:rsidRPr="0075548A" w:rsidRDefault="0075548A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En este estudio de caso, se explora el enfoque innovador de Positive </w:t>
            </w:r>
            <w:proofErr w:type="spellStart"/>
            <w:r>
              <w:rPr>
                <w:rFonts w:ascii="Century Gothic" w:hAnsi="Century Gothic"/>
                <w:color w:val="595959" w:themeColor="text1" w:themeTint="A6"/>
                <w:sz w:val="24"/>
              </w:rPr>
              <w:t>Charge</w:t>
            </w:r>
            <w:proofErr w:type="spellEnd"/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 para resolver los desafíos urbanos de carga de vehículos eléctricos. Los hallazgos clave revelan mejoras significativas en la eficiencia de la carga y la satisfacción del cliente.</w:t>
            </w:r>
          </w:p>
        </w:tc>
      </w:tr>
      <w:tr w:rsidR="002D4865" w14:paraId="0C7605BE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9863397" w14:textId="09209DC4" w:rsidR="002D4865" w:rsidRPr="00B35B7E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INTRODUCCIÓN</w:t>
            </w:r>
          </w:p>
        </w:tc>
      </w:tr>
      <w:tr w:rsidR="002D4865" w14:paraId="359D3F07" w14:textId="77777777" w:rsidTr="0075548A">
        <w:trPr>
          <w:trHeight w:val="115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E64A1BA" w14:textId="6F55F49B" w:rsidR="002D4865" w:rsidRPr="0075548A" w:rsidRDefault="0075548A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Positive </w:t>
            </w:r>
            <w:proofErr w:type="spellStart"/>
            <w:r>
              <w:rPr>
                <w:rFonts w:ascii="Century Gothic" w:hAnsi="Century Gothic"/>
                <w:color w:val="595959" w:themeColor="text1" w:themeTint="A6"/>
                <w:sz w:val="24"/>
              </w:rPr>
              <w:t>Charge</w:t>
            </w:r>
            <w:proofErr w:type="spellEnd"/>
            <w:r>
              <w:rPr>
                <w:rFonts w:ascii="Century Gothic" w:hAnsi="Century Gothic"/>
                <w:color w:val="595959" w:themeColor="text1" w:themeTint="A6"/>
                <w:sz w:val="24"/>
              </w:rPr>
              <w:t>, una empresa pionera en carga y logística de EV, transformó la infraestructura urbana para los vehículos eléctricos. Se fundó en 2015 y se convirtió rápidamente en una de las principales empresas de transporte urbano sustentable.</w:t>
            </w:r>
          </w:p>
        </w:tc>
      </w:tr>
      <w:tr w:rsidR="002D4865" w14:paraId="74945AF7" w14:textId="77777777" w:rsidTr="002160F0">
        <w:trPr>
          <w:trHeight w:val="72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  <w:left w:val="single" w:sz="24" w:space="0" w:color="2F5496" w:themeColor="accent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2E685BBE" w14:textId="5EF3AB86" w:rsidR="002D4865" w:rsidRPr="00B35B7E" w:rsidRDefault="002D4865" w:rsidP="002D48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PLANTEAMIENTO DEL PROBLEMA</w:t>
            </w:r>
          </w:p>
        </w:tc>
      </w:tr>
      <w:tr w:rsidR="002D4865" w14:paraId="5F47BA14" w14:textId="77777777" w:rsidTr="00902D36">
        <w:trPr>
          <w:trHeight w:val="106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1E2A7E9B" w14:textId="4457257A" w:rsidR="002D4865" w:rsidRPr="0075548A" w:rsidRDefault="0075548A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 pesar de la creciente adopción de los vehículos eléctricos, las áreas urbanas carecían de suficientes estaciones de carga rápida, lo que provocó ineficiencias operativas y la insatisfacción de los clientes.</w:t>
            </w:r>
          </w:p>
        </w:tc>
      </w:tr>
      <w:tr w:rsidR="002D4865" w14:paraId="66BE178E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53EDD981" w14:textId="691750F1" w:rsidR="002D4865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ANÁLISIS DETALLADO</w:t>
            </w:r>
          </w:p>
        </w:tc>
      </w:tr>
      <w:tr w:rsidR="002D4865" w14:paraId="3222F3DA" w14:textId="77777777" w:rsidTr="00902D36">
        <w:trPr>
          <w:trHeight w:val="1627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59A9FCB" w14:textId="5CEC549B" w:rsidR="002D4865" w:rsidRPr="0075548A" w:rsidRDefault="0075548A" w:rsidP="002D4865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ANÁLISIS SITUACIONAL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7F0F63A" w14:textId="0F2A25EB" w:rsidR="002D4865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El análisis de los patrones de tráfico urbano y el uso de vehículos eléctricos puso de manifiesto la necesidad crítica de instalar estaciones de carga rápida en ubicaciones más estratégicas.</w:t>
            </w:r>
          </w:p>
        </w:tc>
      </w:tr>
      <w:tr w:rsidR="002D4865" w14:paraId="2FDB515A" w14:textId="77777777" w:rsidTr="004A54FC">
        <w:trPr>
          <w:trHeight w:val="160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5C628DC1" w14:textId="5D689A67" w:rsidR="002D4865" w:rsidRPr="0075548A" w:rsidRDefault="002D4865" w:rsidP="002D4865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ANÁLISIS DE PARTES INTERESADAS</w:t>
            </w:r>
          </w:p>
        </w:tc>
        <w:tc>
          <w:tcPr>
            <w:tcW w:w="5390" w:type="dxa"/>
            <w:vAlign w:val="center"/>
          </w:tcPr>
          <w:p w14:paraId="4BE51ECC" w14:textId="02E08AA1" w:rsidR="002D4865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Entre las principales partes interesadas, </w:t>
            </w:r>
            <w:r w:rsidR="00E04743">
              <w:rPr>
                <w:rFonts w:ascii="Century Gothic" w:hAnsi="Century Gothic"/>
                <w:color w:val="595959" w:themeColor="text1" w:themeTint="A6"/>
                <w:sz w:val="24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 encontraban los planificadores urbanos, los usuarios de vehículos eléctricos y las empresas de logística. Todos ellos requerían soluciones de carga eficientes.</w:t>
            </w:r>
          </w:p>
        </w:tc>
      </w:tr>
      <w:tr w:rsidR="002D4865" w14:paraId="6F80E5D8" w14:textId="77777777" w:rsidTr="00902D36">
        <w:trPr>
          <w:trHeight w:val="1087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5E8D2FCB" w14:textId="589A1282" w:rsidR="002D4865" w:rsidRPr="0075548A" w:rsidRDefault="002D4865" w:rsidP="002D4865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DATOS Y PRUEBAS</w:t>
            </w:r>
          </w:p>
        </w:tc>
        <w:tc>
          <w:tcPr>
            <w:tcW w:w="5390" w:type="dxa"/>
            <w:vAlign w:val="center"/>
          </w:tcPr>
          <w:p w14:paraId="696F579C" w14:textId="4F95C4F6" w:rsidR="002D4865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 acuerdo con los datos, aumentó en un 30% la demanda de estaciones de carga de EV en áreas urbanas en el último año.</w:t>
            </w:r>
          </w:p>
        </w:tc>
      </w:tr>
      <w:tr w:rsidR="002D4865" w14:paraId="3D8CCCE3" w14:textId="77777777" w:rsidTr="00902D36">
        <w:trPr>
          <w:trHeight w:val="1296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18750B5D" w14:textId="1EC774D5" w:rsidR="002D4865" w:rsidRPr="0075548A" w:rsidRDefault="002D4865" w:rsidP="002D4865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ANÁLISIS ESPECÍFICO DEL PROBLEMA</w:t>
            </w:r>
          </w:p>
        </w:tc>
        <w:tc>
          <w:tcPr>
            <w:tcW w:w="5390" w:type="dxa"/>
            <w:vAlign w:val="center"/>
          </w:tcPr>
          <w:p w14:paraId="5D41BA16" w14:textId="5CD88100" w:rsidR="002D4865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Las fortalezas incluían tecnología innovadora y asociaciones estratégicas; </w:t>
            </w:r>
            <w:r w:rsidR="00902D36">
              <w:rPr>
                <w:rFonts w:ascii="Century Gothic" w:hAnsi="Century Gothic"/>
                <w:color w:val="595959" w:themeColor="text1" w:themeTint="A6"/>
                <w:sz w:val="24"/>
              </w:rPr>
              <w:br/>
            </w:r>
            <w:r>
              <w:rPr>
                <w:rFonts w:ascii="Century Gothic" w:hAnsi="Century Gothic"/>
                <w:color w:val="595959" w:themeColor="text1" w:themeTint="A6"/>
                <w:sz w:val="24"/>
              </w:rPr>
              <w:t>las debilidades, por su parte, incluían altos costos de instalación.</w:t>
            </w:r>
          </w:p>
        </w:tc>
      </w:tr>
      <w:tr w:rsidR="002D4865" w14:paraId="511C0818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7504B837" w14:textId="07732198" w:rsidR="002D4865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lastRenderedPageBreak/>
              <w:t>EXPLORACIÓN DE SOLUCIONES</w:t>
            </w:r>
          </w:p>
        </w:tc>
      </w:tr>
      <w:tr w:rsidR="002D4865" w14:paraId="7320B779" w14:textId="77777777" w:rsidTr="002160F0">
        <w:trPr>
          <w:trHeight w:val="1440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C06E64A" w14:textId="591B9067" w:rsidR="002D4865" w:rsidRPr="0075548A" w:rsidRDefault="00B35B7E" w:rsidP="00B35B7E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SOLUCIONES PROPUESTAS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0FBD7AE7" w14:textId="14D09A52" w:rsidR="002D4865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Las soluciones consideradas fueron unidades de carga móviles y asociaciones con propiedades comerciales para la instalación de las estaciones.</w:t>
            </w:r>
          </w:p>
        </w:tc>
      </w:tr>
      <w:tr w:rsidR="002D4865" w14:paraId="738A4FE3" w14:textId="77777777" w:rsidTr="00B35B7E">
        <w:trPr>
          <w:trHeight w:val="1440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470B0DB1" w14:textId="0CC6E8D6" w:rsidR="002D4865" w:rsidRPr="0075548A" w:rsidRDefault="00B35B7E" w:rsidP="00B35B7E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PLAN DE IMPLEMENTACIÓN</w:t>
            </w:r>
          </w:p>
        </w:tc>
        <w:tc>
          <w:tcPr>
            <w:tcW w:w="5390" w:type="dxa"/>
            <w:vAlign w:val="center"/>
          </w:tcPr>
          <w:p w14:paraId="0E1916BF" w14:textId="1D081529" w:rsidR="002D4865" w:rsidRPr="0075548A" w:rsidRDefault="00C17975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Elegimos instalar estaciones de carga rápida permanentes en puntos de logística clave, y completamos el plan en un plazo de seis meses.</w:t>
            </w:r>
          </w:p>
        </w:tc>
      </w:tr>
      <w:tr w:rsidR="00B35B7E" w14:paraId="6C43F172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6CCDCEB" w14:textId="6501E0D9" w:rsidR="00B35B7E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RESULTADOS E IMPACTO</w:t>
            </w:r>
          </w:p>
        </w:tc>
      </w:tr>
      <w:tr w:rsidR="002D4865" w14:paraId="36ECDD64" w14:textId="77777777" w:rsidTr="002160F0">
        <w:trPr>
          <w:trHeight w:val="1440"/>
        </w:trPr>
        <w:tc>
          <w:tcPr>
            <w:tcW w:w="5390" w:type="dxa"/>
            <w:tcBorders>
              <w:top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EBCF610" w14:textId="7A3E60C1" w:rsidR="002D4865" w:rsidRPr="0075548A" w:rsidRDefault="00B35B7E" w:rsidP="00B35B7E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ANÁLISIS DE RESULTADOS</w:t>
            </w:r>
          </w:p>
        </w:tc>
        <w:tc>
          <w:tcPr>
            <w:tcW w:w="5390" w:type="dxa"/>
            <w:tcBorders>
              <w:top w:val="single" w:sz="8" w:space="0" w:color="BFBFBF" w:themeColor="background1" w:themeShade="BF"/>
            </w:tcBorders>
            <w:vAlign w:val="center"/>
          </w:tcPr>
          <w:p w14:paraId="6238C510" w14:textId="0C9B791C" w:rsidR="002D4865" w:rsidRPr="0022798B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Después de la implementación, hubo un aumento del 40% en la eficiencia de carga y una mejora del 25% en la satisfacción de los clientes.</w:t>
            </w:r>
          </w:p>
        </w:tc>
      </w:tr>
      <w:tr w:rsidR="002D4865" w14:paraId="439F3785" w14:textId="77777777" w:rsidTr="004A54FC">
        <w:trPr>
          <w:trHeight w:val="1672"/>
        </w:trPr>
        <w:tc>
          <w:tcPr>
            <w:tcW w:w="5390" w:type="dxa"/>
            <w:shd w:val="clear" w:color="auto" w:fill="E2EFD9" w:themeFill="accent6" w:themeFillTint="33"/>
            <w:vAlign w:val="center"/>
          </w:tcPr>
          <w:p w14:paraId="01A43EB9" w14:textId="322886BB" w:rsidR="002D4865" w:rsidRPr="0075548A" w:rsidRDefault="00B35B7E" w:rsidP="00B35B7E">
            <w:pPr>
              <w:jc w:val="right"/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EFECTOS A LARGO PLAZO</w:t>
            </w:r>
          </w:p>
        </w:tc>
        <w:tc>
          <w:tcPr>
            <w:tcW w:w="5390" w:type="dxa"/>
            <w:vAlign w:val="center"/>
          </w:tcPr>
          <w:p w14:paraId="1506DED4" w14:textId="7EE37C0F" w:rsidR="002D4865" w:rsidRPr="0022798B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La solución no solo satisfizo las necesidades inmediatas, sino que también posicionó a Positive </w:t>
            </w:r>
            <w:proofErr w:type="spellStart"/>
            <w:r>
              <w:rPr>
                <w:rFonts w:ascii="Century Gothic" w:hAnsi="Century Gothic"/>
                <w:color w:val="595959" w:themeColor="text1" w:themeTint="A6"/>
                <w:sz w:val="24"/>
              </w:rPr>
              <w:t>Charge</w:t>
            </w:r>
            <w:proofErr w:type="spellEnd"/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 para futuras ampliaciones de la infraestructura urbana para vehículos eléctricos.</w:t>
            </w:r>
          </w:p>
        </w:tc>
      </w:tr>
      <w:tr w:rsidR="00B35B7E" w14:paraId="1EAE92EE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58250145" w14:textId="6459BD10" w:rsidR="00B35B7E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LECCIONES APRENDIDAS</w:t>
            </w:r>
          </w:p>
        </w:tc>
      </w:tr>
      <w:tr w:rsidR="00B35B7E" w14:paraId="2FA801E8" w14:textId="77777777" w:rsidTr="00902D36">
        <w:trPr>
          <w:trHeight w:val="1078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21D97D48" w14:textId="4F4A9034" w:rsidR="00B35B7E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El proyecto destacó la importancia del análisis de las ubicaciones y la retroalimentación de las partes interesadas en la implementación de soluciones de carga efectivas.</w:t>
            </w:r>
          </w:p>
        </w:tc>
      </w:tr>
      <w:tr w:rsidR="00B35B7E" w14:paraId="00064076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1219BA21" w14:textId="2F98B3FB" w:rsidR="00B35B7E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CONCLUSIÓN Y RECOMENDACIONES</w:t>
            </w:r>
          </w:p>
        </w:tc>
      </w:tr>
      <w:tr w:rsidR="00B35B7E" w14:paraId="4F4A398D" w14:textId="77777777" w:rsidTr="00902D36">
        <w:trPr>
          <w:trHeight w:val="1213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15894C8B" w14:textId="4DC732EA" w:rsidR="00B35B7E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Como conclusión, la estrategia de Positive </w:t>
            </w:r>
            <w:proofErr w:type="spellStart"/>
            <w:r>
              <w:rPr>
                <w:rFonts w:ascii="Century Gothic" w:hAnsi="Century Gothic"/>
                <w:color w:val="595959" w:themeColor="text1" w:themeTint="A6"/>
                <w:sz w:val="24"/>
              </w:rPr>
              <w:t>Charge</w:t>
            </w:r>
            <w:proofErr w:type="spellEnd"/>
            <w:r>
              <w:rPr>
                <w:rFonts w:ascii="Century Gothic" w:hAnsi="Century Gothic"/>
                <w:color w:val="595959" w:themeColor="text1" w:themeTint="A6"/>
                <w:sz w:val="24"/>
              </w:rPr>
              <w:t xml:space="preserve"> mejoró significativamente la eficiencia de carga de los vehículos eléctricos de la comunidad. Recomendamos explorar opciones de energía renovable para una mayor sostenibilidad.</w:t>
            </w:r>
          </w:p>
        </w:tc>
      </w:tr>
      <w:tr w:rsidR="00B35B7E" w14:paraId="44F9CD78" w14:textId="77777777" w:rsidTr="002160F0">
        <w:trPr>
          <w:trHeight w:val="720"/>
        </w:trPr>
        <w:tc>
          <w:tcPr>
            <w:tcW w:w="10780" w:type="dxa"/>
            <w:gridSpan w:val="2"/>
            <w:tcBorders>
              <w:left w:val="single" w:sz="24" w:space="0" w:color="2F5496" w:themeColor="accent1" w:themeShade="BF"/>
              <w:bottom w:val="single" w:sz="8" w:space="0" w:color="BFBFBF" w:themeColor="background1" w:themeShade="BF"/>
            </w:tcBorders>
            <w:shd w:val="clear" w:color="auto" w:fill="DEEAF6" w:themeFill="accent5" w:themeFillTint="33"/>
            <w:vAlign w:val="center"/>
          </w:tcPr>
          <w:p w14:paraId="78EA061F" w14:textId="25068E77" w:rsidR="00B35B7E" w:rsidRPr="00B35B7E" w:rsidRDefault="00B35B7E" w:rsidP="00B35B7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2F5496" w:themeColor="accent1" w:themeShade="BF"/>
                <w:sz w:val="32"/>
                <w:szCs w:val="32"/>
              </w:rPr>
            </w:pPr>
            <w:r>
              <w:rPr>
                <w:rFonts w:ascii="Century Gothic" w:hAnsi="Century Gothic"/>
                <w:color w:val="2F5496" w:themeColor="accent1" w:themeShade="BF"/>
                <w:sz w:val="32"/>
              </w:rPr>
              <w:t>ANEXOS Y REFERENCIAS</w:t>
            </w:r>
          </w:p>
        </w:tc>
      </w:tr>
      <w:tr w:rsidR="00B35B7E" w14:paraId="087E0D08" w14:textId="77777777" w:rsidTr="00902D36">
        <w:trPr>
          <w:trHeight w:val="1080"/>
        </w:trPr>
        <w:tc>
          <w:tcPr>
            <w:tcW w:w="107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37C7D689" w14:textId="3A670AE7" w:rsidR="00B35B7E" w:rsidRPr="0075548A" w:rsidRDefault="0075548A" w:rsidP="002D4865">
            <w:pPr>
              <w:rPr>
                <w:rFonts w:ascii="Century Gothic" w:hAnsi="Century Gothic"/>
                <w:color w:val="595959" w:themeColor="text1" w:themeTint="A6"/>
                <w:sz w:val="24"/>
                <w:szCs w:val="24"/>
              </w:rPr>
            </w:pPr>
            <w:r>
              <w:rPr>
                <w:rFonts w:ascii="Century Gothic" w:hAnsi="Century Gothic"/>
                <w:color w:val="595959" w:themeColor="text1" w:themeTint="A6"/>
                <w:sz w:val="24"/>
              </w:rPr>
              <w:t>Se incluyen estudios de tráfico detallados, transcripciones de entrevistas de las partes interesadas y un análisis financiero del proyecto.</w:t>
            </w:r>
          </w:p>
        </w:tc>
      </w:tr>
    </w:tbl>
    <w:p w14:paraId="0CDE6A7F" w14:textId="77777777" w:rsidR="002D4865" w:rsidRDefault="002D486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2CDF54F2" w14:textId="77777777" w:rsidR="002160F0" w:rsidRPr="003D706E" w:rsidRDefault="002160F0" w:rsidP="002160F0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2160F0" w:rsidRPr="003D706E" w14:paraId="38CA4B27" w14:textId="77777777" w:rsidTr="00A7538E">
        <w:trPr>
          <w:trHeight w:val="2706"/>
        </w:trPr>
        <w:tc>
          <w:tcPr>
            <w:tcW w:w="10638" w:type="dxa"/>
          </w:tcPr>
          <w:p w14:paraId="0ECAA14F" w14:textId="77777777" w:rsidR="002160F0" w:rsidRPr="003D706E" w:rsidRDefault="002160F0" w:rsidP="00A7538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DESCARGO DE RESPONSABILIDAD</w:t>
            </w:r>
          </w:p>
          <w:p w14:paraId="0E9AFB90" w14:textId="77777777" w:rsidR="002160F0" w:rsidRPr="003D706E" w:rsidRDefault="002160F0" w:rsidP="00A7538E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AB18F10" w14:textId="77777777" w:rsidR="002160F0" w:rsidRPr="003D706E" w:rsidRDefault="002160F0" w:rsidP="00A7538E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3B1F80D" w14:textId="77777777" w:rsidR="002160F0" w:rsidRPr="003D706E" w:rsidRDefault="002160F0" w:rsidP="002160F0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DB15827" w14:textId="77777777" w:rsidR="002160F0" w:rsidRPr="002160F0" w:rsidRDefault="002160F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2160F0" w:rsidRPr="002160F0" w:rsidSect="00CD70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D883" w14:textId="77777777" w:rsidR="00E37AC8" w:rsidRDefault="00E37AC8" w:rsidP="003825A2">
      <w:pPr>
        <w:spacing w:after="0" w:line="240" w:lineRule="auto"/>
      </w:pPr>
      <w:r>
        <w:separator/>
      </w:r>
    </w:p>
  </w:endnote>
  <w:endnote w:type="continuationSeparator" w:id="0">
    <w:p w14:paraId="323948F0" w14:textId="77777777" w:rsidR="00E37AC8" w:rsidRDefault="00E37AC8" w:rsidP="0038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4EFC0" w14:textId="77777777" w:rsidR="00E37AC8" w:rsidRDefault="00E37AC8" w:rsidP="003825A2">
      <w:pPr>
        <w:spacing w:after="0" w:line="240" w:lineRule="auto"/>
      </w:pPr>
      <w:r>
        <w:separator/>
      </w:r>
    </w:p>
  </w:footnote>
  <w:footnote w:type="continuationSeparator" w:id="0">
    <w:p w14:paraId="7FA3FA87" w14:textId="77777777" w:rsidR="00E37AC8" w:rsidRDefault="00E37AC8" w:rsidP="0038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F3A3B"/>
    <w:multiLevelType w:val="hybridMultilevel"/>
    <w:tmpl w:val="1D40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65"/>
    <w:rsid w:val="00113FF4"/>
    <w:rsid w:val="00144D6A"/>
    <w:rsid w:val="002160F0"/>
    <w:rsid w:val="0022017E"/>
    <w:rsid w:val="0022798B"/>
    <w:rsid w:val="002D4865"/>
    <w:rsid w:val="003825A2"/>
    <w:rsid w:val="00392C70"/>
    <w:rsid w:val="004A54FC"/>
    <w:rsid w:val="0075548A"/>
    <w:rsid w:val="00820BE6"/>
    <w:rsid w:val="008E1D47"/>
    <w:rsid w:val="008E24CD"/>
    <w:rsid w:val="00902D36"/>
    <w:rsid w:val="009D4580"/>
    <w:rsid w:val="009E0E74"/>
    <w:rsid w:val="009E7B2D"/>
    <w:rsid w:val="00A93C31"/>
    <w:rsid w:val="00AB3890"/>
    <w:rsid w:val="00AC19B8"/>
    <w:rsid w:val="00B35B7E"/>
    <w:rsid w:val="00B5159F"/>
    <w:rsid w:val="00BD04F8"/>
    <w:rsid w:val="00C02E76"/>
    <w:rsid w:val="00C0477C"/>
    <w:rsid w:val="00C17975"/>
    <w:rsid w:val="00CD70BC"/>
    <w:rsid w:val="00D2241B"/>
    <w:rsid w:val="00D94E4E"/>
    <w:rsid w:val="00DE279A"/>
    <w:rsid w:val="00E04743"/>
    <w:rsid w:val="00E37AC8"/>
    <w:rsid w:val="00F23EF7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DF7D"/>
  <w15:chartTrackingRefBased/>
  <w15:docId w15:val="{8397D65B-6485-4491-BACC-46D4838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8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8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8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8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8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86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2D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5A2"/>
  </w:style>
  <w:style w:type="paragraph" w:styleId="Footer">
    <w:name w:val="footer"/>
    <w:basedOn w:val="Normal"/>
    <w:link w:val="FooterChar"/>
    <w:uiPriority w:val="99"/>
    <w:unhideWhenUsed/>
    <w:rsid w:val="003825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561</Words>
  <Characters>3259</Characters>
  <Application>Microsoft Office Word</Application>
  <DocSecurity>0</DocSecurity>
  <Lines>85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Sun Ye</cp:lastModifiedBy>
  <cp:revision>11</cp:revision>
  <dcterms:created xsi:type="dcterms:W3CDTF">2024-02-12T05:03:00Z</dcterms:created>
  <dcterms:modified xsi:type="dcterms:W3CDTF">2025-01-04T13:26:00Z</dcterms:modified>
</cp:coreProperties>
</file>