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261495" w14:textId="475A45A6" w:rsidR="0022017E" w:rsidRPr="00DC1040" w:rsidRDefault="006316AE">
      <w:pPr>
        <w:rPr>
          <w:rFonts w:ascii="Century Gothic" w:hAnsi="Century Gothic"/>
          <w:b/>
          <w:bCs/>
          <w:color w:val="595959" w:themeColor="text1" w:themeTint="A6"/>
          <w:sz w:val="52"/>
          <w:szCs w:val="52"/>
        </w:rPr>
      </w:pPr>
      <w:r w:rsidRPr="00DC1040">
        <w:rPr>
          <w:noProof/>
          <w:sz w:val="52"/>
          <w:szCs w:val="52"/>
        </w:rPr>
        <w:drawing>
          <wp:anchor distT="0" distB="0" distL="114300" distR="114300" simplePos="0" relativeHeight="251668480" behindDoc="0" locked="0" layoutInCell="1" allowOverlap="1" wp14:anchorId="1E7A9148" wp14:editId="3D88AC17">
            <wp:simplePos x="0" y="0"/>
            <wp:positionH relativeFrom="column">
              <wp:posOffset>6349365</wp:posOffset>
            </wp:positionH>
            <wp:positionV relativeFrom="paragraph">
              <wp:posOffset>95250</wp:posOffset>
            </wp:positionV>
            <wp:extent cx="2767965" cy="548640"/>
            <wp:effectExtent l="0" t="0" r="0" b="3810"/>
            <wp:wrapNone/>
            <wp:docPr id="1163524304" name="Picture 2" descr="A blue and white logo&#10;&#10;Description automatically generated">
              <a:hlinkClick xmlns:a="http://schemas.openxmlformats.org/drawingml/2006/main" r:id="rId6"/>
              <a:extLst xmlns:a="http://schemas.openxmlformats.org/drawingml/2006/main">
                <a:ext uri="{FF2B5EF4-FFF2-40B4-BE49-F238E27FC236}">
                  <a16:creationId xmlns:a16="http://schemas.microsoft.com/office/drawing/2014/main" id="{E91CE153-7A8E-1E8D-E7F8-A1234050B6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24304" name="Picture 2" descr="A blue and white logo&#10;&#10;Description automatically generated">
                      <a:hlinkClick r:id="rId6"/>
                      <a:extLst>
                        <a:ext uri="{FF2B5EF4-FFF2-40B4-BE49-F238E27FC236}">
                          <a16:creationId xmlns:a16="http://schemas.microsoft.com/office/drawing/2014/main" id="{E91CE153-7A8E-1E8D-E7F8-A1234050B6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C0E" w:rsidRPr="00DC1040">
        <w:rPr>
          <w:rFonts w:ascii="Century Gothic" w:hAnsi="Century Gothic"/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58239" behindDoc="1" locked="0" layoutInCell="1" allowOverlap="1" wp14:anchorId="41BDD1EC" wp14:editId="70F3FF4E">
            <wp:simplePos x="0" y="0"/>
            <wp:positionH relativeFrom="column">
              <wp:posOffset>-789940</wp:posOffset>
            </wp:positionH>
            <wp:positionV relativeFrom="paragraph">
              <wp:posOffset>-762000</wp:posOffset>
            </wp:positionV>
            <wp:extent cx="10820400" cy="8361733"/>
            <wp:effectExtent l="0" t="0" r="0" b="1270"/>
            <wp:wrapNone/>
            <wp:docPr id="6662961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96125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0" cy="8361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C0E" w:rsidRPr="00DC1040">
        <w:rPr>
          <w:rFonts w:ascii="Century Gothic" w:hAnsi="Century Gothic"/>
          <w:b/>
          <w:color w:val="595959" w:themeColor="text1" w:themeTint="A6"/>
          <w:sz w:val="52"/>
          <w:szCs w:val="52"/>
        </w:rPr>
        <w:t xml:space="preserve">EJEMPLO DE PLANTILLA DE CASO </w:t>
      </w:r>
      <w:r w:rsidR="00DC1040" w:rsidRPr="00DC1040">
        <w:rPr>
          <w:rFonts w:ascii="Century Gothic" w:hAnsi="Century Gothic"/>
          <w:b/>
          <w:color w:val="595959" w:themeColor="text1" w:themeTint="A6"/>
          <w:sz w:val="52"/>
          <w:szCs w:val="52"/>
        </w:rPr>
        <w:br/>
      </w:r>
      <w:r w:rsidR="00823C0E" w:rsidRPr="00DC1040">
        <w:rPr>
          <w:rFonts w:ascii="Century Gothic" w:hAnsi="Century Gothic"/>
          <w:b/>
          <w:color w:val="595959" w:themeColor="text1" w:themeTint="A6"/>
          <w:sz w:val="52"/>
          <w:szCs w:val="52"/>
        </w:rPr>
        <w:t>DE ESTUDIO SIMPLE</w:t>
      </w:r>
      <w:r w:rsidR="00DC1040" w:rsidRPr="00DC1040">
        <w:rPr>
          <w:rFonts w:ascii="Century Gothic" w:hAnsi="Century Gothic"/>
          <w:b/>
          <w:color w:val="595959" w:themeColor="text1" w:themeTint="A6"/>
          <w:sz w:val="52"/>
          <w:szCs w:val="52"/>
        </w:rPr>
        <w:t xml:space="preserve"> </w:t>
      </w:r>
      <w:r w:rsidR="00E327DC" w:rsidRPr="00DC1040">
        <w:rPr>
          <w:rFonts w:ascii="Century Gothic" w:hAnsi="Century Gothic"/>
          <w:b/>
          <w:bCs/>
          <w:color w:val="595959" w:themeColor="text1" w:themeTint="A6"/>
          <w:sz w:val="52"/>
          <w:szCs w:val="52"/>
        </w:rPr>
        <w:br/>
      </w:r>
      <w:r w:rsidR="00823C0E" w:rsidRPr="00DC1040">
        <w:rPr>
          <w:rFonts w:ascii="Century Gothic" w:hAnsi="Century Gothic"/>
          <w:b/>
          <w:color w:val="595959" w:themeColor="text1" w:themeTint="A6"/>
          <w:sz w:val="52"/>
          <w:szCs w:val="52"/>
        </w:rPr>
        <w:t>para Microsoft Word</w:t>
      </w:r>
    </w:p>
    <w:p w14:paraId="198C8B67" w14:textId="1ED7BBBE" w:rsidR="00762D74" w:rsidRPr="00DC1040" w:rsidRDefault="00381194" w:rsidP="00381194">
      <w:pPr>
        <w:tabs>
          <w:tab w:val="left" w:pos="3150"/>
        </w:tabs>
        <w:rPr>
          <w:rFonts w:ascii="Century Gothic" w:hAnsi="Century Gothic"/>
          <w:b/>
          <w:bCs/>
          <w:color w:val="595959" w:themeColor="text1" w:themeTint="A6"/>
          <w:sz w:val="40"/>
          <w:szCs w:val="40"/>
        </w:rPr>
      </w:pPr>
      <w:r>
        <w:rPr>
          <w:rFonts w:ascii="Century Gothic" w:hAnsi="Century Gothic"/>
          <w:b/>
          <w:bCs/>
          <w:color w:val="595959" w:themeColor="text1" w:themeTint="A6"/>
          <w:sz w:val="40"/>
          <w:szCs w:val="40"/>
        </w:rPr>
        <w:tab/>
      </w:r>
    </w:p>
    <w:p w14:paraId="31ADC349" w14:textId="77777777" w:rsidR="00DC1040" w:rsidRPr="00DC1040" w:rsidRDefault="00DC1040">
      <w:pPr>
        <w:rPr>
          <w:rFonts w:ascii="Century Gothic" w:hAnsi="Century Gothic"/>
          <w:b/>
          <w:bCs/>
          <w:color w:val="595959" w:themeColor="text1" w:themeTint="A6"/>
          <w:sz w:val="40"/>
          <w:szCs w:val="40"/>
        </w:rPr>
      </w:pPr>
    </w:p>
    <w:p w14:paraId="2B513E80" w14:textId="60ECD34A" w:rsidR="00762D74" w:rsidRDefault="00762D74">
      <w:pPr>
        <w:rPr>
          <w:rFonts w:ascii="Century Gothic" w:hAnsi="Century Gothic"/>
          <w:color w:val="2E74B5" w:themeColor="accent5" w:themeShade="BF"/>
          <w:sz w:val="84"/>
          <w:szCs w:val="84"/>
        </w:rPr>
      </w:pPr>
      <w:r>
        <w:rPr>
          <w:rFonts w:ascii="Century Gothic" w:hAnsi="Century Gothic"/>
          <w:color w:val="2E74B5" w:themeColor="accent5" w:themeShade="BF"/>
          <w:sz w:val="84"/>
        </w:rPr>
        <w:t>[</w:t>
      </w:r>
      <w:r w:rsidR="008C71A7">
        <w:rPr>
          <w:rFonts w:ascii="Century Gothic" w:hAnsi="Century Gothic"/>
          <w:color w:val="2E74B5" w:themeColor="accent5" w:themeShade="BF"/>
          <w:sz w:val="84"/>
        </w:rPr>
        <w:t xml:space="preserve"> </w:t>
      </w:r>
      <w:r w:rsidR="00EE1FEC">
        <w:rPr>
          <w:rFonts w:ascii="Century Gothic" w:hAnsi="Century Gothic"/>
          <w:color w:val="2E74B5" w:themeColor="accent5" w:themeShade="BF"/>
          <w:sz w:val="64"/>
          <w:szCs w:val="64"/>
        </w:rPr>
        <w:t xml:space="preserve">POTENCIAR LAS FLOTAS ELÉCTRICAS CON SOLUCIONES DE CARGA </w:t>
      </w:r>
      <w:proofErr w:type="gramStart"/>
      <w:r w:rsidR="00EE1FEC">
        <w:rPr>
          <w:rFonts w:ascii="Century Gothic" w:hAnsi="Century Gothic"/>
          <w:color w:val="2E74B5" w:themeColor="accent5" w:themeShade="BF"/>
          <w:sz w:val="64"/>
          <w:szCs w:val="64"/>
        </w:rPr>
        <w:t>EFICIENTES</w:t>
      </w:r>
      <w:r w:rsidR="008C71A7">
        <w:rPr>
          <w:rFonts w:ascii="Century Gothic" w:hAnsi="Century Gothic"/>
          <w:color w:val="2E74B5" w:themeColor="accent5" w:themeShade="BF"/>
          <w:sz w:val="64"/>
          <w:szCs w:val="64"/>
        </w:rPr>
        <w:t xml:space="preserve"> </w:t>
      </w:r>
      <w:r>
        <w:rPr>
          <w:rFonts w:ascii="Century Gothic" w:hAnsi="Century Gothic"/>
          <w:color w:val="2E74B5" w:themeColor="accent5" w:themeShade="BF"/>
          <w:sz w:val="84"/>
        </w:rPr>
        <w:t>]</w:t>
      </w:r>
      <w:proofErr w:type="gramEnd"/>
    </w:p>
    <w:p w14:paraId="3B9EA348" w14:textId="414194CD" w:rsidR="00762D74" w:rsidRPr="00DC1040" w:rsidRDefault="00762D74">
      <w:pPr>
        <w:rPr>
          <w:rFonts w:ascii="Century Gothic" w:hAnsi="Century Gothic"/>
          <w:color w:val="2E74B5" w:themeColor="accent5" w:themeShade="BF"/>
          <w:sz w:val="60"/>
          <w:szCs w:val="60"/>
        </w:rPr>
      </w:pPr>
    </w:p>
    <w:tbl>
      <w:tblPr>
        <w:tblStyle w:val="TableGrid"/>
        <w:tblW w:w="14305" w:type="dxa"/>
        <w:tblLook w:val="04A0" w:firstRow="1" w:lastRow="0" w:firstColumn="1" w:lastColumn="0" w:noHBand="0" w:noVBand="1"/>
      </w:tblPr>
      <w:tblGrid>
        <w:gridCol w:w="3595"/>
        <w:gridCol w:w="10710"/>
      </w:tblGrid>
      <w:tr w:rsidR="00823C0E" w:rsidRPr="00E327DC" w14:paraId="7FA42F3D" w14:textId="77777777" w:rsidTr="00DC1040">
        <w:trPr>
          <w:trHeight w:val="1152"/>
        </w:trPr>
        <w:tc>
          <w:tcPr>
            <w:tcW w:w="3595" w:type="dxa"/>
            <w:shd w:val="clear" w:color="auto" w:fill="FFF2CC" w:themeFill="accent4" w:themeFillTint="33"/>
            <w:vAlign w:val="center"/>
          </w:tcPr>
          <w:p w14:paraId="2B08B5DB" w14:textId="3B657CC9" w:rsidR="00823C0E" w:rsidRPr="00E327DC" w:rsidRDefault="00823C0E" w:rsidP="00E327DC">
            <w:pPr>
              <w:jc w:val="right"/>
              <w:rPr>
                <w:rFonts w:ascii="Century Gothic" w:hAnsi="Century Gothic"/>
                <w:color w:val="2E74B5" w:themeColor="accent5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TÍTULO</w:t>
            </w:r>
          </w:p>
        </w:tc>
        <w:tc>
          <w:tcPr>
            <w:tcW w:w="10710" w:type="dxa"/>
            <w:shd w:val="clear" w:color="auto" w:fill="F2F2F2" w:themeFill="background1" w:themeFillShade="F2"/>
            <w:vAlign w:val="center"/>
          </w:tcPr>
          <w:p w14:paraId="08354BA8" w14:textId="03842F37" w:rsidR="00823C0E" w:rsidRPr="00E327DC" w:rsidRDefault="00EE1FEC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Estudio de caso de marketing: Empoderar a las flotas eléctricas con soluciones de carga eficientes</w:t>
            </w:r>
          </w:p>
        </w:tc>
      </w:tr>
      <w:tr w:rsidR="00823C0E" w:rsidRPr="00E327DC" w14:paraId="51BF33B8" w14:textId="77777777" w:rsidTr="00DC1040">
        <w:trPr>
          <w:trHeight w:val="1152"/>
        </w:trPr>
        <w:tc>
          <w:tcPr>
            <w:tcW w:w="3595" w:type="dxa"/>
            <w:shd w:val="clear" w:color="auto" w:fill="FFF2CC" w:themeFill="accent4" w:themeFillTint="33"/>
            <w:vAlign w:val="center"/>
          </w:tcPr>
          <w:p w14:paraId="58B534BD" w14:textId="3D50A061" w:rsidR="00823C0E" w:rsidRPr="00E327DC" w:rsidRDefault="00823C0E" w:rsidP="00E327DC">
            <w:pPr>
              <w:jc w:val="right"/>
              <w:rPr>
                <w:rFonts w:ascii="Century Gothic" w:hAnsi="Century Gothic"/>
                <w:color w:val="2E74B5" w:themeColor="accent5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ELABORADO POR</w:t>
            </w:r>
          </w:p>
        </w:tc>
        <w:tc>
          <w:tcPr>
            <w:tcW w:w="10710" w:type="dxa"/>
            <w:shd w:val="clear" w:color="auto" w:fill="F2F2F2" w:themeFill="background1" w:themeFillShade="F2"/>
            <w:vAlign w:val="center"/>
          </w:tcPr>
          <w:p w14:paraId="3AB520FC" w14:textId="357B474E" w:rsidR="00823C0E" w:rsidRPr="00E327DC" w:rsidRDefault="00EE1FEC" w:rsidP="00E327DC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 xml:space="preserve">Lori </w:t>
            </w:r>
            <w:proofErr w:type="spellStart"/>
            <w:r>
              <w:rPr>
                <w:rFonts w:ascii="Century Gothic" w:hAnsi="Century Gothic"/>
                <w:color w:val="595959" w:themeColor="text1" w:themeTint="A6"/>
                <w:sz w:val="24"/>
              </w:rPr>
              <w:t>Garcia</w:t>
            </w:r>
            <w:proofErr w:type="spellEnd"/>
          </w:p>
        </w:tc>
      </w:tr>
      <w:tr w:rsidR="00823C0E" w:rsidRPr="00E327DC" w14:paraId="6A035C60" w14:textId="77777777" w:rsidTr="00DC1040">
        <w:trPr>
          <w:trHeight w:val="1152"/>
        </w:trPr>
        <w:tc>
          <w:tcPr>
            <w:tcW w:w="3595" w:type="dxa"/>
            <w:shd w:val="clear" w:color="auto" w:fill="FFF2CC" w:themeFill="accent4" w:themeFillTint="33"/>
            <w:vAlign w:val="center"/>
          </w:tcPr>
          <w:p w14:paraId="2F300152" w14:textId="104FE2E0" w:rsidR="00823C0E" w:rsidRPr="00E327DC" w:rsidRDefault="00823C0E" w:rsidP="00E327DC">
            <w:pPr>
              <w:jc w:val="right"/>
              <w:rPr>
                <w:rFonts w:ascii="Century Gothic" w:hAnsi="Century Gothic"/>
                <w:color w:val="2E74B5" w:themeColor="accent5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FECHA</w:t>
            </w:r>
          </w:p>
        </w:tc>
        <w:tc>
          <w:tcPr>
            <w:tcW w:w="10710" w:type="dxa"/>
            <w:shd w:val="clear" w:color="auto" w:fill="F2F2F2" w:themeFill="background1" w:themeFillShade="F2"/>
            <w:vAlign w:val="center"/>
          </w:tcPr>
          <w:p w14:paraId="5FAF7AB5" w14:textId="70ABE0E2" w:rsidR="00823C0E" w:rsidRPr="00E327DC" w:rsidRDefault="00823C0E" w:rsidP="00E327DC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DD/MM/AA</w:t>
            </w:r>
          </w:p>
        </w:tc>
      </w:tr>
    </w:tbl>
    <w:p w14:paraId="7A2D2479" w14:textId="2A8D30CE" w:rsidR="00E327DC" w:rsidRDefault="00E327DC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p w14:paraId="3675EBE4" w14:textId="21F9CABC" w:rsidR="00762D74" w:rsidRDefault="00762D74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3595"/>
        <w:gridCol w:w="10980"/>
      </w:tblGrid>
      <w:tr w:rsidR="00762D74" w:rsidRPr="00E327DC" w14:paraId="688745BA" w14:textId="77777777" w:rsidTr="00823C0E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39139D5F" w14:textId="37DF25C8" w:rsidR="00762D74" w:rsidRPr="00E327DC" w:rsidRDefault="00762D74" w:rsidP="001647D3">
            <w:pPr>
              <w:jc w:val="right"/>
              <w:rPr>
                <w:rFonts w:ascii="Century Gothic" w:hAnsi="Century Gothic"/>
                <w:color w:val="2E74B5" w:themeColor="accent5" w:themeShade="BF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  <w:br w:type="page"/>
            </w: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INTRODUCCIÓN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40892618" w14:textId="0975DF4B" w:rsidR="00762D74" w:rsidRPr="00E327DC" w:rsidRDefault="00EE1FEC" w:rsidP="00823C0E">
            <w:pPr>
              <w:ind w:left="255"/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 xml:space="preserve">En este estudio de marketing, analizamos la exitosa asociación de Positive </w:t>
            </w:r>
            <w:proofErr w:type="spellStart"/>
            <w:r>
              <w:rPr>
                <w:rFonts w:ascii="Century Gothic" w:hAnsi="Century Gothic"/>
                <w:color w:val="595959" w:themeColor="text1" w:themeTint="A6"/>
                <w:sz w:val="24"/>
              </w:rPr>
              <w:t>Charge</w:t>
            </w:r>
            <w:proofErr w:type="spellEnd"/>
            <w:r>
              <w:rPr>
                <w:rFonts w:ascii="Century Gothic" w:hAnsi="Century Gothic"/>
                <w:color w:val="595959" w:themeColor="text1" w:themeTint="A6"/>
                <w:sz w:val="24"/>
              </w:rPr>
              <w:t xml:space="preserve"> con una empresa de gestión de flotas de EV. Descubra cómo nuestras soluciones personalizadas de carga de EV abordaron sus desafíos únicos y transformaron sus operaciones.</w:t>
            </w:r>
          </w:p>
        </w:tc>
      </w:tr>
      <w:tr w:rsidR="00823C0E" w:rsidRPr="00E327DC" w14:paraId="1FE45C82" w14:textId="77777777" w:rsidTr="00823C0E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494890FF" w14:textId="602FA0A1" w:rsidR="00823C0E" w:rsidRDefault="00823C0E" w:rsidP="00823C0E">
            <w:pPr>
              <w:jc w:val="right"/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  <w:br w:type="page"/>
            </w: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DESAFÍO/OPORTUNIDAD DEL CLIENTE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7FEF718E" w14:textId="4BBB2C63" w:rsidR="00823C0E" w:rsidRPr="00E327DC" w:rsidRDefault="00EE1FEC" w:rsidP="00823C0E">
            <w:pPr>
              <w:ind w:left="255"/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El cliente, una empresa de gestión de flotas de EV, se enfrentaba a un desafío significativo debido a que su flota de EV crecía rápidamente. Las limitaciones de la infraestructura de carga generaban cuellos de botella, lo que afectaba el tiempo de actividad y la eficiencia operativa de la flota.</w:t>
            </w:r>
          </w:p>
        </w:tc>
      </w:tr>
      <w:tr w:rsidR="00823C0E" w:rsidRPr="00E327DC" w14:paraId="2BB5661E" w14:textId="77777777" w:rsidTr="00823C0E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629FCC36" w14:textId="02FBC489" w:rsidR="00823C0E" w:rsidRDefault="00823C0E" w:rsidP="00823C0E">
            <w:pPr>
              <w:jc w:val="right"/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  <w:br w:type="page"/>
            </w: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ESTRATEGIAS DE MARKETING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276A1507" w14:textId="190A4A98" w:rsidR="00823C0E" w:rsidRPr="00E327DC" w:rsidRDefault="00EE1FEC" w:rsidP="00823C0E">
            <w:pPr>
              <w:ind w:left="255"/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 xml:space="preserve">Positive </w:t>
            </w:r>
            <w:proofErr w:type="spellStart"/>
            <w:r>
              <w:rPr>
                <w:rFonts w:ascii="Century Gothic" w:hAnsi="Century Gothic"/>
                <w:color w:val="595959" w:themeColor="text1" w:themeTint="A6"/>
                <w:sz w:val="24"/>
              </w:rPr>
              <w:t>Charge</w:t>
            </w:r>
            <w:proofErr w:type="spellEnd"/>
            <w:r>
              <w:rPr>
                <w:rFonts w:ascii="Century Gothic" w:hAnsi="Century Gothic"/>
                <w:color w:val="595959" w:themeColor="text1" w:themeTint="A6"/>
                <w:sz w:val="24"/>
              </w:rPr>
              <w:t xml:space="preserve"> ideó una estrategia de marketing integral para lidiar con el desafío de manera eficaz. Nuestras estrategias se centraron en proporcionar soluciones de carga de EV llave en mano adaptadas a las necesidades y los desafíos específicos del cliente.</w:t>
            </w:r>
          </w:p>
        </w:tc>
      </w:tr>
      <w:tr w:rsidR="00823C0E" w:rsidRPr="00E327DC" w14:paraId="79163858" w14:textId="77777777" w:rsidTr="00823C0E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77E8567C" w14:textId="24A40FE8" w:rsidR="00823C0E" w:rsidRDefault="00823C0E" w:rsidP="00823C0E">
            <w:pPr>
              <w:jc w:val="right"/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  <w:br w:type="page"/>
            </w: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RESULTADOS E IMPACTO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274ABBE0" w14:textId="017CB5C0" w:rsidR="00823C0E" w:rsidRPr="00E327DC" w:rsidRDefault="00EE1FEC" w:rsidP="00823C0E">
            <w:pPr>
              <w:ind w:left="255"/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Los resultados fueron notables. A través de nuestros esfuerzos de marketing, el cliente experimentó una reducción del 50% en el tiempo de inactividad relacionado con las cargas, lo que generó un ahorro sustancial de costos. Además, nuestras estrategias llevaron a un aumento del 60% en los clientes potenciales de los operadores de flotas que buscaban soluciones similares.</w:t>
            </w:r>
          </w:p>
        </w:tc>
      </w:tr>
      <w:tr w:rsidR="00823C0E" w:rsidRPr="00E327DC" w14:paraId="5BBA5C9E" w14:textId="77777777" w:rsidTr="00823C0E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46B51AC4" w14:textId="602F04C7" w:rsidR="00823C0E" w:rsidRDefault="00823C0E" w:rsidP="00823C0E">
            <w:pPr>
              <w:jc w:val="right"/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  <w:br w:type="page"/>
            </w: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LLAMADA A LA ACCIÓN (CTA)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2CD0A799" w14:textId="29149D31" w:rsidR="00823C0E" w:rsidRPr="00E327DC" w:rsidRDefault="00EE1FEC" w:rsidP="00823C0E">
            <w:pPr>
              <w:ind w:left="255"/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Lo invitamos a dar el siguiente paso hacia la transformación de las operaciones de su flota de EV. Contáctenos hoy mismo para explorar soluciones personalizadas de carga de EV que impulsarán la eficiencia y el ahorro de costos para su negocio.</w:t>
            </w:r>
          </w:p>
        </w:tc>
      </w:tr>
    </w:tbl>
    <w:p w14:paraId="63FDCD72" w14:textId="77777777" w:rsidR="00823C0E" w:rsidRDefault="00823C0E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p w14:paraId="3DE3E235" w14:textId="77777777" w:rsidR="00823C0E" w:rsidRDefault="00823C0E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  <w:br w:type="page"/>
      </w:r>
    </w:p>
    <w:tbl>
      <w:tblPr>
        <w:tblStyle w:val="TableGrid"/>
        <w:tblW w:w="1413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130"/>
      </w:tblGrid>
      <w:tr w:rsidR="00515C0D" w:rsidRPr="003D706E" w14:paraId="3EE5D30F" w14:textId="77777777" w:rsidTr="00515C0D">
        <w:trPr>
          <w:trHeight w:val="2706"/>
        </w:trPr>
        <w:tc>
          <w:tcPr>
            <w:tcW w:w="14130" w:type="dxa"/>
          </w:tcPr>
          <w:p w14:paraId="299E2D02" w14:textId="77777777" w:rsidR="00515C0D" w:rsidRPr="003D706E" w:rsidRDefault="00515C0D" w:rsidP="001647D3">
            <w:pPr>
              <w:jc w:val="center"/>
              <w:rPr>
                <w:rFonts w:ascii="Century Gothic" w:hAnsi="Century Gothic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0"/>
              </w:rPr>
              <w:lastRenderedPageBreak/>
              <w:t>DESCARGO DE RESPONSABILIDAD</w:t>
            </w:r>
          </w:p>
          <w:p w14:paraId="343171A1" w14:textId="77777777" w:rsidR="00515C0D" w:rsidRPr="003D706E" w:rsidRDefault="00515C0D" w:rsidP="001647D3">
            <w:pPr>
              <w:rPr>
                <w:rFonts w:ascii="Century Gothic" w:hAnsi="Century Gothic" w:cs="Arial"/>
                <w:color w:val="000000" w:themeColor="text1"/>
                <w:szCs w:val="20"/>
              </w:rPr>
            </w:pPr>
          </w:p>
          <w:p w14:paraId="67E10766" w14:textId="77777777" w:rsidR="00515C0D" w:rsidRPr="003D706E" w:rsidRDefault="00515C0D" w:rsidP="001647D3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</w:rPr>
              <w:t>Todos los artículos, las plantillas o la información que proporcione Smartsheet en el sitio web son solo de referencia. Si bien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la confianza que usted deposite en dicha información es estrictamente bajo su propio riesgo.</w:t>
            </w:r>
          </w:p>
        </w:tc>
      </w:tr>
    </w:tbl>
    <w:p w14:paraId="11DEBBB9" w14:textId="77777777" w:rsidR="00515C0D" w:rsidRPr="003D706E" w:rsidRDefault="00515C0D" w:rsidP="00515C0D">
      <w:pPr>
        <w:rPr>
          <w:rFonts w:ascii="Century Gothic" w:hAnsi="Century Gothic"/>
          <w:b/>
          <w:color w:val="000000" w:themeColor="text1"/>
          <w:sz w:val="32"/>
          <w:szCs w:val="44"/>
        </w:rPr>
      </w:pPr>
    </w:p>
    <w:p w14:paraId="5418DEB4" w14:textId="597B3386" w:rsidR="00762D74" w:rsidRPr="00762D74" w:rsidRDefault="00762D74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sectPr w:rsidR="00762D74" w:rsidRPr="00762D74" w:rsidSect="00A1594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CA67E9" w14:textId="77777777" w:rsidR="00533D4F" w:rsidRDefault="00533D4F" w:rsidP="006316AE">
      <w:pPr>
        <w:spacing w:after="0" w:line="240" w:lineRule="auto"/>
      </w:pPr>
      <w:r>
        <w:separator/>
      </w:r>
    </w:p>
  </w:endnote>
  <w:endnote w:type="continuationSeparator" w:id="0">
    <w:p w14:paraId="015C5BAA" w14:textId="77777777" w:rsidR="00533D4F" w:rsidRDefault="00533D4F" w:rsidP="00631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71861C" w14:textId="77777777" w:rsidR="00533D4F" w:rsidRDefault="00533D4F" w:rsidP="006316AE">
      <w:pPr>
        <w:spacing w:after="0" w:line="240" w:lineRule="auto"/>
      </w:pPr>
      <w:r>
        <w:separator/>
      </w:r>
    </w:p>
  </w:footnote>
  <w:footnote w:type="continuationSeparator" w:id="0">
    <w:p w14:paraId="02198B20" w14:textId="77777777" w:rsidR="00533D4F" w:rsidRDefault="00533D4F" w:rsidP="006316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7DC"/>
    <w:rsid w:val="00053B54"/>
    <w:rsid w:val="001E6C3B"/>
    <w:rsid w:val="0022017E"/>
    <w:rsid w:val="002E1AA8"/>
    <w:rsid w:val="003607A5"/>
    <w:rsid w:val="00381194"/>
    <w:rsid w:val="004A7DA5"/>
    <w:rsid w:val="004B535F"/>
    <w:rsid w:val="00515C0D"/>
    <w:rsid w:val="00533D4F"/>
    <w:rsid w:val="00541186"/>
    <w:rsid w:val="006316AE"/>
    <w:rsid w:val="0074342C"/>
    <w:rsid w:val="00762D74"/>
    <w:rsid w:val="007A1CAE"/>
    <w:rsid w:val="00823C0E"/>
    <w:rsid w:val="008C71A7"/>
    <w:rsid w:val="009D4580"/>
    <w:rsid w:val="009E7B2D"/>
    <w:rsid w:val="00A1594C"/>
    <w:rsid w:val="00A93C31"/>
    <w:rsid w:val="00B16211"/>
    <w:rsid w:val="00C109AE"/>
    <w:rsid w:val="00D2241B"/>
    <w:rsid w:val="00DC1040"/>
    <w:rsid w:val="00DE6F6A"/>
    <w:rsid w:val="00E327DC"/>
    <w:rsid w:val="00EE1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68D01"/>
  <w15:chartTrackingRefBased/>
  <w15:docId w15:val="{D38A7A33-568E-45D3-83C9-EC714D0A5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27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27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27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7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27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27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27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27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27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27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27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27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7D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27D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27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27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27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27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27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2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27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2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27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27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27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27D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27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27D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27D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99"/>
    <w:rsid w:val="00E32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316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6AE"/>
  </w:style>
  <w:style w:type="paragraph" w:styleId="Footer">
    <w:name w:val="footer"/>
    <w:basedOn w:val="Normal"/>
    <w:link w:val="FooterChar"/>
    <w:uiPriority w:val="99"/>
    <w:unhideWhenUsed/>
    <w:rsid w:val="006316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16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s.smartsheet.com/try-it?trp=28122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380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Dunlevy, Bess</dc:creator>
  <cp:keywords/>
  <dc:description/>
  <cp:lastModifiedBy>Sun Ye</cp:lastModifiedBy>
  <cp:revision>12</cp:revision>
  <dcterms:created xsi:type="dcterms:W3CDTF">2024-01-09T19:14:00Z</dcterms:created>
  <dcterms:modified xsi:type="dcterms:W3CDTF">2025-01-04T13:22:00Z</dcterms:modified>
</cp:coreProperties>
</file>